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34557ds1a.htm"/>
        <w:bookmarkStart w:id="1" w:name="ksd934557ds1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May 1, 2025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333-286626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Amendment No.1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4"/>
        </w:rPr>
      </w:pPr>
      <w:r>
        <w:rPr>
          <w:rFonts w:ascii="Times New Roman" w:hAnsi="Times New Roman"/>
          <w:b/>
          <w:sz w:val="44"/>
        </w:rPr>
        <w:t xml:space="preserve">Sandisk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3572</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99-1508671</w:t>
            </w:r>
          </w:p>
        </w:tc>
      </w:tr>
      <w:tr>
        <w:trPr/>
        <w:tc>
          <w:tcPr>
            <w:tcW w:w="3469" w:type="dxa"/>
            <w:tcBorders/>
          </w:tcPr>
          <w:p>
            <w:pPr>
              <w:pStyle w:val="TableContents"/>
              <w:bidi w:val="0"/>
              <w:spacing w:before="0" w:after="0"/>
              <w:jc w:val="center"/>
              <w:rPr>
                <w:rFonts w:ascii="Times New Roman" w:hAnsi="Times New Roman"/>
                <w:b/>
                <w:sz w:val="15"/>
              </w:rPr>
            </w:pPr>
            <w:r>
              <w:rPr>
                <w:rFonts w:ascii="Times New Roman" w:hAnsi="Times New Roman"/>
                <w:b/>
                <w:sz w:val="15"/>
              </w:rPr>
              <w:t>(State or other jurisdiction of</w:t>
            </w:r>
          </w:p>
          <w:p>
            <w:pPr>
              <w:pStyle w:val="TableContents"/>
              <w:bidi w:val="0"/>
              <w:spacing w:before="0" w:after="20"/>
              <w:jc w:val="center"/>
              <w:rPr>
                <w:rFonts w:ascii="Times New Roman" w:hAnsi="Times New Roman"/>
                <w:b/>
                <w:sz w:val="15"/>
              </w:rPr>
            </w:pPr>
            <w:r>
              <w:rPr>
                <w:rFonts w:ascii="Times New Roman" w:hAnsi="Times New Roman"/>
                <w:b/>
                <w:sz w:val="15"/>
              </w:rPr>
              <w:t>incorporation)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5"/>
              </w:rPr>
            </w:pPr>
            <w:r>
              <w:rPr>
                <w:rFonts w:ascii="Times New Roman" w:hAnsi="Times New Roman"/>
                <w:b/>
                <w:sz w:val="15"/>
              </w:rPr>
              <w:t>(Primary Standard Industrial</w:t>
            </w:r>
          </w:p>
          <w:p>
            <w:pPr>
              <w:pStyle w:val="TableContents"/>
              <w:bidi w:val="0"/>
              <w:spacing w:before="0" w:after="20"/>
              <w:jc w:val="center"/>
              <w:rPr>
                <w:rFonts w:ascii="Times New Roman" w:hAnsi="Times New Roman"/>
                <w:b/>
                <w:sz w:val="15"/>
              </w:rPr>
            </w:pPr>
            <w:r>
              <w:rPr>
                <w:rFonts w:ascii="Times New Roman" w:hAnsi="Times New Roman"/>
                <w:b/>
                <w:sz w:val="15"/>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5"/>
              </w:rPr>
            </w:pPr>
            <w:r>
              <w:rPr>
                <w:rFonts w:ascii="Times New Roman" w:hAnsi="Times New Roman"/>
                <w:b/>
                <w:sz w:val="15"/>
              </w:rPr>
              <w:t>(I.R.S. Employer</w:t>
            </w:r>
          </w:p>
          <w:p>
            <w:pPr>
              <w:pStyle w:val="TableContents"/>
              <w:bidi w:val="0"/>
              <w:spacing w:before="0" w:after="20"/>
              <w:jc w:val="center"/>
              <w:rPr>
                <w:rFonts w:ascii="Times New Roman" w:hAnsi="Times New Roman"/>
                <w:b/>
                <w:sz w:val="15"/>
              </w:rPr>
            </w:pPr>
            <w:r>
              <w:rPr>
                <w:rFonts w:ascii="Times New Roman" w:hAnsi="Times New Roman"/>
                <w:b/>
                <w:sz w:val="15"/>
              </w:rPr>
              <w:t>Identification Number)</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951 Sandisk Drive </w:t>
      </w:r>
    </w:p>
    <w:p>
      <w:pPr>
        <w:pStyle w:val="TextBody"/>
        <w:bidi w:val="0"/>
        <w:spacing w:before="0" w:after="0"/>
        <w:jc w:val="center"/>
        <w:rPr>
          <w:rFonts w:ascii="Times New Roman" w:hAnsi="Times New Roman"/>
          <w:b/>
          <w:sz w:val="16"/>
        </w:rPr>
      </w:pPr>
      <w:r>
        <w:rPr>
          <w:rFonts w:ascii="Times New Roman" w:hAnsi="Times New Roman"/>
          <w:b/>
          <w:sz w:val="16"/>
        </w:rPr>
        <w:t xml:space="preserve">Milpitas, California 95035 </w:t>
      </w:r>
    </w:p>
    <w:p>
      <w:pPr>
        <w:pStyle w:val="TextBody"/>
        <w:bidi w:val="0"/>
        <w:spacing w:before="0" w:after="0"/>
        <w:jc w:val="center"/>
        <w:rPr>
          <w:rFonts w:ascii="Times New Roman" w:hAnsi="Times New Roman"/>
          <w:b/>
          <w:sz w:val="16"/>
        </w:rPr>
      </w:pPr>
      <w:r>
        <w:rPr>
          <w:rFonts w:ascii="Times New Roman" w:hAnsi="Times New Roman"/>
          <w:b/>
          <w:sz w:val="16"/>
        </w:rPr>
        <w:t xml:space="preserve">(408) 801-1000 </w:t>
      </w:r>
    </w:p>
    <w:p>
      <w:pPr>
        <w:pStyle w:val="TextBody"/>
        <w:bidi w:val="0"/>
        <w:spacing w:before="0" w:after="0"/>
        <w:jc w:val="center"/>
        <w:rPr>
          <w:rFonts w:ascii="Times New Roman" w:hAnsi="Times New Roman"/>
          <w:b/>
          <w:sz w:val="15"/>
        </w:rPr>
      </w:pPr>
      <w:r>
        <w:rPr>
          <w:rFonts w:ascii="Times New Roman" w:hAnsi="Times New Roman"/>
          <w:b/>
          <w:sz w:val="15"/>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Bernard Shek </w:t>
      </w:r>
    </w:p>
    <w:p>
      <w:pPr>
        <w:pStyle w:val="TextBody"/>
        <w:bidi w:val="0"/>
        <w:spacing w:before="0" w:after="0"/>
        <w:jc w:val="center"/>
        <w:rPr>
          <w:rFonts w:ascii="Times New Roman" w:hAnsi="Times New Roman"/>
          <w:b/>
          <w:sz w:val="16"/>
        </w:rPr>
      </w:pPr>
      <w:r>
        <w:rPr>
          <w:rFonts w:ascii="Times New Roman" w:hAnsi="Times New Roman"/>
          <w:b/>
          <w:sz w:val="16"/>
        </w:rPr>
        <w:t xml:space="preserve">Senior Vice President, Chief Legal Officer and Secretary </w:t>
      </w:r>
    </w:p>
    <w:p>
      <w:pPr>
        <w:pStyle w:val="TextBody"/>
        <w:bidi w:val="0"/>
        <w:spacing w:before="0" w:after="0"/>
        <w:jc w:val="center"/>
        <w:rPr>
          <w:rFonts w:ascii="Times New Roman" w:hAnsi="Times New Roman"/>
          <w:b/>
          <w:sz w:val="16"/>
        </w:rPr>
      </w:pPr>
      <w:r>
        <w:rPr>
          <w:rFonts w:ascii="Times New Roman" w:hAnsi="Times New Roman"/>
          <w:b/>
          <w:sz w:val="16"/>
        </w:rPr>
        <w:t xml:space="preserve">Sandisk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951 Sandisk Drive </w:t>
      </w:r>
    </w:p>
    <w:p>
      <w:pPr>
        <w:pStyle w:val="TextBody"/>
        <w:bidi w:val="0"/>
        <w:spacing w:before="0" w:after="0"/>
        <w:jc w:val="center"/>
        <w:rPr>
          <w:rFonts w:ascii="Times New Roman" w:hAnsi="Times New Roman"/>
          <w:b/>
          <w:sz w:val="16"/>
        </w:rPr>
      </w:pPr>
      <w:r>
        <w:rPr>
          <w:rFonts w:ascii="Times New Roman" w:hAnsi="Times New Roman"/>
          <w:b/>
          <w:sz w:val="16"/>
        </w:rPr>
        <w:t xml:space="preserve">Milpitas, California 95035 </w:t>
      </w:r>
    </w:p>
    <w:p>
      <w:pPr>
        <w:pStyle w:val="TextBody"/>
        <w:bidi w:val="0"/>
        <w:spacing w:before="0" w:after="0"/>
        <w:jc w:val="center"/>
        <w:rPr>
          <w:rFonts w:ascii="Times New Roman" w:hAnsi="Times New Roman"/>
          <w:b/>
          <w:sz w:val="16"/>
        </w:rPr>
      </w:pPr>
      <w:r>
        <w:rPr>
          <w:rFonts w:ascii="Times New Roman" w:hAnsi="Times New Roman"/>
          <w:b/>
          <w:sz w:val="16"/>
        </w:rPr>
        <w:t xml:space="preserve">(408) 801-1000 </w:t>
      </w:r>
    </w:p>
    <w:p>
      <w:pPr>
        <w:pStyle w:val="TextBody"/>
        <w:bidi w:val="0"/>
        <w:spacing w:before="0" w:after="0"/>
        <w:jc w:val="center"/>
        <w:rPr>
          <w:rFonts w:ascii="Times New Roman" w:hAnsi="Times New Roman"/>
          <w:b/>
          <w:sz w:val="15"/>
        </w:rPr>
      </w:pPr>
      <w:r>
        <w:rPr>
          <w:rFonts w:ascii="Times New Roman" w:hAnsi="Times New Roman"/>
          <w:b/>
          <w:sz w:val="15"/>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80" w:after="0"/>
        <w:jc w:val="center"/>
        <w:rPr>
          <w:rFonts w:ascii="Times New Roman" w:hAnsi="Times New Roman"/>
          <w:b/>
          <w:sz w:val="16"/>
        </w:rPr>
      </w:pPr>
      <w:r>
        <w:rPr>
          <w:rFonts w:ascii="Times New Roman" w:hAnsi="Times New Roman"/>
          <w:b/>
          <w:sz w:val="16"/>
        </w:rPr>
        <w:t xml:space="preserve">Shelly Heyduk </w:t>
      </w:r>
    </w:p>
    <w:p>
      <w:pPr>
        <w:pStyle w:val="TextBody"/>
        <w:bidi w:val="0"/>
        <w:spacing w:before="0" w:after="0"/>
        <w:jc w:val="center"/>
        <w:rPr>
          <w:rFonts w:ascii="Times New Roman" w:hAnsi="Times New Roman"/>
          <w:b/>
          <w:sz w:val="16"/>
        </w:rPr>
      </w:pPr>
      <w:r>
        <w:rPr>
          <w:rFonts w:ascii="Times New Roman" w:hAnsi="Times New Roman"/>
          <w:b/>
          <w:sz w:val="16"/>
        </w:rPr>
        <w:t xml:space="preserve">Ryan Coombs </w:t>
      </w:r>
    </w:p>
    <w:p>
      <w:pPr>
        <w:pStyle w:val="TextBody"/>
        <w:bidi w:val="0"/>
        <w:spacing w:before="0" w:after="0"/>
        <w:jc w:val="center"/>
        <w:rPr>
          <w:rFonts w:ascii="Times New Roman" w:hAnsi="Times New Roman"/>
          <w:b/>
          <w:sz w:val="16"/>
        </w:rPr>
      </w:pPr>
      <w:r>
        <w:rPr>
          <w:rFonts w:ascii="Times New Roman" w:hAnsi="Times New Roman"/>
          <w:b/>
          <w:sz w:val="16"/>
        </w:rPr>
        <w:t xml:space="preserve">OMelveny &amp; Myers LLP </w:t>
      </w:r>
    </w:p>
    <w:p>
      <w:pPr>
        <w:pStyle w:val="TextBody"/>
        <w:bidi w:val="0"/>
        <w:spacing w:before="0" w:after="0"/>
        <w:jc w:val="center"/>
        <w:rPr>
          <w:rFonts w:ascii="Times New Roman" w:hAnsi="Times New Roman"/>
          <w:b/>
          <w:sz w:val="16"/>
        </w:rPr>
      </w:pPr>
      <w:r>
        <w:rPr>
          <w:rFonts w:ascii="Times New Roman" w:hAnsi="Times New Roman"/>
          <w:b/>
          <w:sz w:val="16"/>
        </w:rPr>
        <w:t xml:space="preserve">610 Newport Center Drive, 17th Floor </w:t>
      </w:r>
    </w:p>
    <w:p>
      <w:pPr>
        <w:pStyle w:val="TextBody"/>
        <w:bidi w:val="0"/>
        <w:spacing w:before="0" w:after="0"/>
        <w:jc w:val="center"/>
        <w:rPr>
          <w:rFonts w:ascii="Times New Roman" w:hAnsi="Times New Roman"/>
          <w:b/>
          <w:sz w:val="16"/>
        </w:rPr>
      </w:pPr>
      <w:r>
        <w:rPr>
          <w:rFonts w:ascii="Times New Roman" w:hAnsi="Times New Roman"/>
          <w:b/>
          <w:sz w:val="16"/>
        </w:rPr>
        <w:t xml:space="preserve">Newport Beach, California 92660 </w:t>
      </w:r>
    </w:p>
    <w:p>
      <w:pPr>
        <w:pStyle w:val="TextBody"/>
        <w:bidi w:val="0"/>
        <w:spacing w:before="0" w:after="0"/>
        <w:jc w:val="center"/>
        <w:rPr>
          <w:rFonts w:ascii="Times New Roman" w:hAnsi="Times New Roman"/>
          <w:b/>
          <w:sz w:val="16"/>
        </w:rPr>
      </w:pPr>
      <w:r>
        <w:rPr>
          <w:rFonts w:ascii="Times New Roman" w:hAnsi="Times New Roman"/>
          <w:b/>
          <w:sz w:val="16"/>
        </w:rPr>
        <w:t xml:space="preserve">(949) 823-7968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5"/>
        </w:rPr>
      </w:pPr>
      <w:r>
        <w:rPr>
          <w:rFonts w:ascii="Times New Roman" w:hAnsi="Times New Roman"/>
          <w:b/>
          <w:sz w:val="15"/>
        </w:rPr>
        <w:t>Approximate date of commencement of proposed sale to the public</w:t>
      </w:r>
      <w:r>
        <w:rPr>
          <w:rFonts w:ascii="Times New Roman" w:hAnsi="Times New Roman"/>
          <w:sz w:val="15"/>
        </w:rPr>
        <w:t xml:space="preserve">: From time to time after the effectiveness of this registration statement. </w:t>
      </w:r>
    </w:p>
    <w:p>
      <w:pPr>
        <w:pStyle w:val="TextBody"/>
        <w:bidi w:val="0"/>
        <w:spacing w:before="80" w:after="0"/>
        <w:jc w:val="left"/>
        <w:rPr>
          <w:rFonts w:ascii="Times New Roman" w:hAnsi="Times New Roman"/>
          <w:sz w:val="15"/>
        </w:rPr>
      </w:pPr>
      <w:r>
        <w:rPr>
          <w:rFonts w:ascii="Times New Roman" w:hAnsi="Times New Roman"/>
          <w:sz w:val="15"/>
        </w:rPr>
        <w:t xml:space="preserve">If any of the securities being registered on this Form are to be offered on a delayed or continuous basis pursuant to Rule 415 under the Securities Act of 1933, check the following box. ☒ </w:t>
      </w:r>
    </w:p>
    <w:p>
      <w:pPr>
        <w:pStyle w:val="TextBody"/>
        <w:bidi w:val="0"/>
        <w:spacing w:before="80" w:after="0"/>
        <w:jc w:val="left"/>
        <w:rPr>
          <w:rFonts w:ascii="Times New Roman" w:hAnsi="Times New Roman"/>
          <w:sz w:val="15"/>
        </w:rPr>
      </w:pPr>
      <w:r>
        <w:rPr>
          <w:rFonts w:ascii="Times New Roman" w:hAnsi="Times New Roman"/>
          <w:sz w:val="15"/>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5"/>
        </w:rPr>
      </w:pPr>
      <w:r>
        <w:rPr>
          <w:rFonts w:ascii="Times New Roman" w:hAnsi="Times New Roman"/>
          <w:sz w:val="15"/>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5"/>
        </w:rPr>
      </w:pPr>
      <w:r>
        <w:rPr>
          <w:rFonts w:ascii="Times New Roman" w:hAnsi="Times New Roman"/>
          <w:sz w:val="15"/>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5"/>
        </w:rPr>
      </w:pPr>
      <w:r>
        <w:rPr>
          <w:rFonts w:ascii="Times New Roman" w:hAnsi="Times New Roman"/>
          <w:sz w:val="15"/>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4950" w:type="pct"/>
        <w:jc w:val="center"/>
        <w:tblInd w:w="0" w:type="dxa"/>
        <w:tblLayout w:type="fixed"/>
        <w:tblCellMar>
          <w:top w:w="0" w:type="dxa"/>
          <w:left w:w="0" w:type="dxa"/>
          <w:bottom w:w="0" w:type="dxa"/>
          <w:right w:w="0" w:type="dxa"/>
        </w:tblCellMar>
      </w:tblPr>
      <w:tblGrid>
        <w:gridCol w:w="2168"/>
        <w:gridCol w:w="100"/>
        <w:gridCol w:w="4695"/>
        <w:gridCol w:w="132"/>
        <w:gridCol w:w="2642"/>
        <w:gridCol w:w="100"/>
        <w:gridCol w:w="265"/>
      </w:tblGrid>
      <w:tr>
        <w:trPr/>
        <w:tc>
          <w:tcPr>
            <w:tcW w:w="216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68" w:type="dxa"/>
            <w:tcBorders/>
            <w:vAlign w:val="bottom"/>
          </w:tcPr>
          <w:p>
            <w:pPr>
              <w:pStyle w:val="TableContents"/>
              <w:bidi w:val="0"/>
              <w:spacing w:before="0" w:after="283"/>
              <w:jc w:val="left"/>
              <w:rPr/>
            </w:pPr>
            <w:r>
              <w:rPr/>
              <w:t>Large accelerated filer</w:t>
            </w:r>
          </w:p>
        </w:tc>
        <w:tc>
          <w:tcPr>
            <w:tcW w:w="100" w:type="dxa"/>
            <w:tcBorders/>
            <w:vAlign w:val="bottom"/>
          </w:tcPr>
          <w:p>
            <w:pPr>
              <w:pStyle w:val="TableContents"/>
              <w:bidi w:val="0"/>
              <w:spacing w:before="0" w:after="283"/>
              <w:jc w:val="left"/>
              <w:rPr/>
            </w:pPr>
            <w:r>
              <w:rPr/>
              <w:t> </w:t>
            </w:r>
          </w:p>
        </w:tc>
        <w:tc>
          <w:tcPr>
            <w:tcW w:w="4695"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42" w:type="dxa"/>
            <w:tcBorders/>
            <w:vAlign w:val="bottom"/>
          </w:tcPr>
          <w:p>
            <w:pPr>
              <w:pStyle w:val="TableContents"/>
              <w:bidi w:val="0"/>
              <w:spacing w:before="0" w:after="283"/>
              <w:jc w:val="left"/>
              <w:rPr/>
            </w:pPr>
            <w:r>
              <w:rPr/>
              <w:t>Accelerated filer</w:t>
            </w:r>
          </w:p>
        </w:tc>
        <w:tc>
          <w:tcPr>
            <w:tcW w:w="10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68" w:type="dxa"/>
            <w:tcBorders/>
            <w:vAlign w:val="center"/>
          </w:tcPr>
          <w:p>
            <w:pPr>
              <w:pStyle w:val="TableContents"/>
              <w:bidi w:val="0"/>
              <w:spacing w:before="0" w:after="283"/>
              <w:jc w:val="left"/>
              <w:rPr>
                <w:sz w:val="4"/>
                <w:szCs w:val="4"/>
              </w:rPr>
            </w:pPr>
            <w:r>
              <w:rPr>
                <w:sz w:val="4"/>
                <w:szCs w:val="4"/>
              </w:rPr>
            </w:r>
          </w:p>
        </w:tc>
        <w:tc>
          <w:tcPr>
            <w:tcW w:w="4795" w:type="dxa"/>
            <w:gridSpan w:val="2"/>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68" w:type="dxa"/>
            <w:tcBorders/>
            <w:vAlign w:val="bottom"/>
          </w:tcPr>
          <w:p>
            <w:pPr>
              <w:pStyle w:val="TableContents"/>
              <w:bidi w:val="0"/>
              <w:spacing w:before="0" w:after="283"/>
              <w:jc w:val="left"/>
              <w:rPr/>
            </w:pPr>
            <w:r>
              <w:rPr/>
              <w:t>Non-accelerated filer</w:t>
            </w:r>
          </w:p>
        </w:tc>
        <w:tc>
          <w:tcPr>
            <w:tcW w:w="100" w:type="dxa"/>
            <w:tcBorders/>
            <w:vAlign w:val="bottom"/>
          </w:tcPr>
          <w:p>
            <w:pPr>
              <w:pStyle w:val="TableContents"/>
              <w:bidi w:val="0"/>
              <w:spacing w:before="0" w:after="283"/>
              <w:jc w:val="left"/>
              <w:rPr/>
            </w:pPr>
            <w:r>
              <w:rPr/>
              <w:t> </w:t>
            </w:r>
          </w:p>
        </w:tc>
        <w:tc>
          <w:tcPr>
            <w:tcW w:w="4695" w:type="dxa"/>
            <w:tcBorders/>
            <w:vAlign w:val="bottom"/>
          </w:tcPr>
          <w:p>
            <w:pPr>
              <w:pStyle w:val="TableContents"/>
              <w:bidi w:val="0"/>
              <w:spacing w:before="0" w:after="283"/>
              <w:jc w:val="left"/>
              <w:rPr/>
            </w:pPr>
            <w:r>
              <w:rPr/>
              <w:t xml:space="preserve">☒ </w:t>
            </w:r>
            <w:r>
              <w:rPr/>
              <w:t>(Do not check if a smaller reporting company)</w:t>
            </w:r>
          </w:p>
        </w:tc>
        <w:tc>
          <w:tcPr>
            <w:tcW w:w="132" w:type="dxa"/>
            <w:tcBorders/>
            <w:vAlign w:val="bottom"/>
          </w:tcPr>
          <w:p>
            <w:pPr>
              <w:pStyle w:val="TableContents"/>
              <w:bidi w:val="0"/>
              <w:spacing w:before="0" w:after="283"/>
              <w:jc w:val="left"/>
              <w:rPr/>
            </w:pPr>
            <w:r>
              <w:rPr/>
              <w:t>  </w:t>
            </w:r>
          </w:p>
        </w:tc>
        <w:tc>
          <w:tcPr>
            <w:tcW w:w="2642" w:type="dxa"/>
            <w:tcBorders/>
            <w:vAlign w:val="bottom"/>
          </w:tcPr>
          <w:p>
            <w:pPr>
              <w:pStyle w:val="TableContents"/>
              <w:bidi w:val="0"/>
              <w:spacing w:before="0" w:after="283"/>
              <w:jc w:val="left"/>
              <w:rPr/>
            </w:pPr>
            <w:r>
              <w:rPr/>
              <w:t>Smaller reporting company</w:t>
            </w:r>
          </w:p>
        </w:tc>
        <w:tc>
          <w:tcPr>
            <w:tcW w:w="10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68" w:type="dxa"/>
            <w:tcBorders/>
            <w:vAlign w:val="center"/>
          </w:tcPr>
          <w:p>
            <w:pPr>
              <w:pStyle w:val="TableContents"/>
              <w:bidi w:val="0"/>
              <w:spacing w:before="0" w:after="283"/>
              <w:jc w:val="left"/>
              <w:rPr>
                <w:sz w:val="4"/>
                <w:szCs w:val="4"/>
              </w:rPr>
            </w:pPr>
            <w:r>
              <w:rPr>
                <w:sz w:val="4"/>
                <w:szCs w:val="4"/>
              </w:rPr>
            </w:r>
          </w:p>
        </w:tc>
        <w:tc>
          <w:tcPr>
            <w:tcW w:w="4795" w:type="dxa"/>
            <w:gridSpan w:val="2"/>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6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695"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42" w:type="dxa"/>
            <w:tcBorders/>
            <w:vAlign w:val="bottom"/>
          </w:tcPr>
          <w:p>
            <w:pPr>
              <w:pStyle w:val="TableContents"/>
              <w:bidi w:val="0"/>
              <w:spacing w:before="0" w:after="283"/>
              <w:jc w:val="left"/>
              <w:rPr/>
            </w:pPr>
            <w:r>
              <w:rPr/>
              <w:t>Emerging growth company</w:t>
            </w:r>
          </w:p>
        </w:tc>
        <w:tc>
          <w:tcPr>
            <w:tcW w:w="10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5"/>
        </w:rPr>
      </w:pPr>
      <w:r>
        <w:rPr>
          <w:rFonts w:ascii="Times New Roman" w:hAnsi="Times New Roman"/>
          <w:sz w:val="15"/>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z w:val="15"/>
        </w:rPr>
      </w:pPr>
      <w:r>
        <w:rPr>
          <w:rFonts w:ascii="Times New Roman" w:hAnsi="Times New Roman"/>
          <w:b/>
          <w:sz w:val="15"/>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such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These securities may not be sold until the registration statement filed with the Securities and Exchange Commission is effective. This prospectus is not an offer to sell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9"/>
        </w:rPr>
      </w:pPr>
      <w:r>
        <w:rPr>
          <w:rFonts w:ascii="Times New Roman" w:hAnsi="Times New Roman"/>
          <w:b/>
          <w:color w:val="FF4338"/>
          <w:sz w:val="19"/>
        </w:rPr>
        <w:t xml:space="preserve">Subject to Completion </w:t>
      </w:r>
    </w:p>
    <w:p>
      <w:pPr>
        <w:pStyle w:val="TextBody"/>
        <w:bidi w:val="0"/>
        <w:spacing w:before="0" w:after="0"/>
        <w:ind w:left="960" w:right="960" w:hanging="0"/>
        <w:jc w:val="center"/>
        <w:rPr>
          <w:rFonts w:ascii="Times New Roman" w:hAnsi="Times New Roman"/>
          <w:b/>
          <w:color w:val="FF4338"/>
          <w:sz w:val="19"/>
        </w:rPr>
      </w:pPr>
      <w:r>
        <w:rPr>
          <w:rFonts w:ascii="Times New Roman" w:hAnsi="Times New Roman"/>
          <w:b/>
          <w:color w:val="FF4338"/>
          <w:sz w:val="19"/>
        </w:rPr>
        <w:t xml:space="preserve">Preliminary Prospectus dated May 1, 2025 </w:t>
      </w:r>
    </w:p>
    <w:p>
      <w:pPr>
        <w:pStyle w:val="TextBody"/>
        <w:bidi w:val="0"/>
        <w:spacing w:before="160" w:after="0"/>
        <w:ind w:left="960" w:right="960" w:hanging="0"/>
        <w:jc w:val="left"/>
        <w:rPr>
          <w:rFonts w:ascii="Times New Roman" w:hAnsi="Times New Roman"/>
          <w:b/>
          <w:sz w:val="19"/>
        </w:rPr>
      </w:pPr>
      <w:r>
        <w:rPr>
          <w:rFonts w:ascii="Times New Roman" w:hAnsi="Times New Roman"/>
          <w:b/>
          <w:sz w:val="19"/>
        </w:rPr>
        <w:t xml:space="preserve">PROSPECTUS </w:t>
      </w:r>
    </w:p>
    <w:p>
      <w:pPr>
        <w:pStyle w:val="TextBody"/>
        <w:bidi w:val="0"/>
        <w:spacing w:before="160" w:after="0"/>
        <w:ind w:left="960" w:right="960" w:hanging="0"/>
        <w:jc w:val="center"/>
        <w:rPr>
          <w:rFonts w:ascii="Times New Roman" w:hAnsi="Times New Roman"/>
          <w:b/>
          <w:sz w:val="32"/>
        </w:rPr>
      </w:pPr>
      <w:r>
        <w:rPr>
          <w:rFonts w:ascii="Times New Roman" w:hAnsi="Times New Roman"/>
          <w:b/>
          <w:sz w:val="32"/>
        </w:rPr>
        <w:t xml:space="preserve">Up to 28,827,787 Shares </w:t>
      </w:r>
    </w:p>
    <w:p>
      <w:pPr>
        <w:pStyle w:val="TextBody"/>
        <w:bidi w:val="0"/>
        <w:spacing w:before="160" w:after="0"/>
        <w:ind w:left="960" w:right="960" w:hanging="0"/>
        <w:jc w:val="center"/>
        <w:rPr>
          <w:rFonts w:ascii="Times New Roman" w:hAnsi="Times New Roman"/>
          <w:b/>
          <w:sz w:val="44"/>
        </w:rPr>
      </w:pPr>
      <w:r>
        <w:rPr>
          <w:rFonts w:ascii="Times New Roman" w:hAnsi="Times New Roman"/>
          <w:b/>
          <w:sz w:val="44"/>
        </w:rPr>
        <w:t xml:space="preserve">Sandisk Corporation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089785" cy="2139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9785" cy="213995"/>
                    </a:xfrm>
                    <a:prstGeom prst="rect">
                      <a:avLst/>
                    </a:prstGeom>
                  </pic:spPr>
                </pic:pic>
              </a:graphicData>
            </a:graphic>
          </wp:inline>
        </w:drawing>
      </w:r>
      <w:r>
        <w:rPr/>
        <w:t xml:space="preserve"> </w:t>
      </w:r>
    </w:p>
    <w:p>
      <w:pPr>
        <w:pStyle w:val="TextBody"/>
        <w:bidi w:val="0"/>
        <w:spacing w:before="160" w:after="0"/>
        <w:ind w:left="960" w:right="960" w:hanging="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60" w:after="0"/>
        <w:ind w:left="960" w:right="960" w:hanging="0"/>
        <w:jc w:val="left"/>
        <w:rPr>
          <w:rFonts w:ascii="Times New Roman" w:hAnsi="Times New Roman"/>
          <w:sz w:val="19"/>
        </w:rPr>
      </w:pPr>
      <w:r>
        <w:rPr>
          <w:rFonts w:ascii="Times New Roman" w:hAnsi="Times New Roman"/>
          <w:sz w:val="19"/>
        </w:rPr>
        <w:t xml:space="preserve">The selling stockholder identified in this prospectus may offer, from time to time, up to 28,827,787 shares of our common stock. We will not receive any of the proceeds from the sale of shares of our common stock by the selling stockholder. All of the shares registered by this prospectus are currently held by Western Digital Corporation (WDC). WDC does not own any other common stock or equity interests in us. </w:t>
      </w:r>
    </w:p>
    <w:p>
      <w:pPr>
        <w:pStyle w:val="TextBody"/>
        <w:bidi w:val="0"/>
        <w:spacing w:before="160" w:after="0"/>
        <w:ind w:left="960" w:right="960" w:hanging="0"/>
        <w:jc w:val="left"/>
        <w:rPr>
          <w:rFonts w:ascii="Times New Roman" w:hAnsi="Times New Roman"/>
          <w:sz w:val="19"/>
        </w:rPr>
      </w:pPr>
      <w:r>
        <w:rPr>
          <w:rFonts w:ascii="Times New Roman" w:hAnsi="Times New Roman"/>
          <w:sz w:val="19"/>
        </w:rPr>
        <w:t xml:space="preserve">Our common stock is listed on the Nasdaq Stock Market LLC (Nasdaq) under the symbol SNDK. On April 30, 2025, the closing price of our common stock as reported on the Nasdaq was $32.11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60" w:after="0"/>
        <w:ind w:left="960" w:right="960" w:hanging="0"/>
        <w:jc w:val="left"/>
        <w:rPr/>
      </w:pPr>
      <w:r>
        <w:rPr>
          <w:rFonts w:ascii="Times New Roman" w:hAnsi="Times New Roman"/>
          <w:b/>
          <w:sz w:val="24"/>
        </w:rPr>
        <w:t>In reviewing this prospectus, you should carefully consider the matters described under the caption </w:t>
      </w:r>
      <w:hyperlink w:anchor="tx934557_3">
        <w:r>
          <w:rPr>
            <w:rStyle w:val="InternetLink"/>
            <w:rFonts w:ascii="Times New Roman" w:hAnsi="Times New Roman"/>
            <w:b/>
            <w:sz w:val="24"/>
          </w:rPr>
          <w:t>Risk Factors</w:t>
        </w:r>
      </w:hyperlink>
      <w:r>
        <w:rPr>
          <w:rFonts w:ascii="Times New Roman" w:hAnsi="Times New Roman"/>
          <w:b/>
          <w:sz w:val="24"/>
        </w:rPr>
        <w:t xml:space="preserve"> beginning on page 13. </w:t>
      </w:r>
    </w:p>
    <w:p>
      <w:pPr>
        <w:pStyle w:val="TextBody"/>
        <w:bidi w:val="0"/>
        <w:spacing w:before="160" w:after="0"/>
        <w:ind w:left="960" w:right="960" w:hanging="0"/>
        <w:jc w:val="left"/>
        <w:rPr>
          <w:rFonts w:ascii="Times New Roman" w:hAnsi="Times New Roman"/>
          <w:sz w:val="19"/>
        </w:rPr>
      </w:pPr>
      <w:r>
        <w:rPr>
          <w:rFonts w:ascii="Times New Roman" w:hAnsi="Times New Roman"/>
          <w:sz w:val="19"/>
        </w:rPr>
        <w:t xml:space="preserve">At the time the selling stockholder offers shares registered by this prospectus, we will provide a prospectus supplement that will contain specific information about the terms of the offering and that may add to or update the information in this prospectus. You should read this prospectus and the applicable prospectus supplement carefully before you invest. </w:t>
      </w:r>
    </w:p>
    <w:p>
      <w:pPr>
        <w:pStyle w:val="TextBody"/>
        <w:bidi w:val="0"/>
        <w:spacing w:before="160" w:after="0"/>
        <w:ind w:left="960" w:right="960" w:hanging="0"/>
        <w:jc w:val="left"/>
        <w:rPr>
          <w:rFonts w:ascii="Times New Roman" w:hAnsi="Times New Roman"/>
          <w:sz w:val="19"/>
        </w:rPr>
      </w:pPr>
      <w:r>
        <w:rPr>
          <w:rFonts w:ascii="Times New Roman" w:hAnsi="Times New Roman"/>
          <w:sz w:val="19"/>
        </w:rPr>
        <w:t xml:space="preserve">WDC intends to dispose of the 28,827,787 shares of our common stock registered hereby through one or more exchanges of our common stock for WDC debt, unless it selects another method of distribution. WDC expects that any such debt-for-equity exchange would be effected to satisfy outstanding indebtedness under that certain Amended and Restated Loan Agreement, dated as of January 7, 2022, among WDC, JPMorgan Chase Bank, N.A., as administrative agent, and the lenders party thereto (as amended, the Credit Agreement), which governs WDCs $2.51 billion Term Loan A-3 and revolving credit facility maturing in January 2027. In any such debt-for-equity exchange, WDC intends to deliver such shares to one or more affiliates of one or more third party lenders under the Credit Agreement, each of which we refer to, in such role, as a debt-for-equity exchange party. In connection therewith, WDC and such debt-for-equity exchange party will enter into an exchange agreement with respect to such shares. The debt-for-equity exchange party, and not WDC or us, will receive the proceeds from the sale of the shares in any such offering. However, as a result of exchanging the shares of our common stock with the debt-for-equity exchange party prior to any offering, WDC may be deemed to be a selling stockholder in such offering solely for U.S. federal securities law purposes. We refer to any such exchange between WDC and the debt-for-equity exchange parties as the debt-for-equity exchange. In the event WDC consummates a debt-for-equity exchange, the debt-for-equity exchange will occur on the settlement date of the applicable offering immediately prior to, and its consummation will be a condition to, the settlement of the selling stockholders sale of the shares to the underwriters in such offering. As a result, the consummation of such debt-for-equity exchange will also ultimately be a condition to the settlement of the underwriters sale of the shares to prospective investors in such offering. Alternatively, if market and general economic conditions do not support such exchanges, WDC may transfer such shares to holders of WDC common stock as dividends or in exchange for outstanding shares of WDC common stock. </w:t>
      </w:r>
    </w:p>
    <w:p>
      <w:pPr>
        <w:pStyle w:val="TextBody"/>
        <w:bidi w:val="0"/>
        <w:spacing w:before="160" w:after="0"/>
        <w:ind w:left="960" w:right="960" w:hanging="0"/>
        <w:jc w:val="left"/>
        <w:rPr>
          <w:rFonts w:ascii="Times New Roman" w:hAnsi="Times New Roman"/>
          <w:sz w:val="19"/>
        </w:rPr>
      </w:pPr>
      <w:r>
        <w:rPr>
          <w:rFonts w:ascii="Times New Roman" w:hAnsi="Times New Roman"/>
          <w:sz w:val="19"/>
        </w:rPr>
        <w:t xml:space="preserve">The selling stockholder may offer the shares in amounts, at prices and on terms determined by market conditions at the time of the offering. The selling stockholder may sell shares through agents it selects or through underwriters and dealers it selects. The selling stockholder also may sell shares directly to investors. </w:t>
      </w:r>
    </w:p>
    <w:p>
      <w:pPr>
        <w:pStyle w:val="TextBody"/>
        <w:bidi w:val="0"/>
        <w:spacing w:before="160" w:after="0"/>
        <w:ind w:left="960" w:right="960" w:hanging="0"/>
        <w:jc w:val="left"/>
        <w:rPr>
          <w:rFonts w:ascii="Times New Roman" w:hAnsi="Times New Roman"/>
          <w:sz w:val="19"/>
        </w:rPr>
      </w:pPr>
      <w:r>
        <w:rPr>
          <w:rFonts w:ascii="Times New Roman" w:hAnsi="Times New Roman"/>
          <w:sz w:val="19"/>
        </w:rPr>
        <w:t xml:space="preserve">If the selling stockholder uses agents, underwriters or dealers to sell the shares, we will name them and describe their compensation in a prospectus supplement. </w:t>
      </w:r>
    </w:p>
    <w:p>
      <w:pPr>
        <w:pStyle w:val="TextBody"/>
        <w:bidi w:val="0"/>
        <w:spacing w:before="160" w:after="0"/>
        <w:ind w:left="960" w:right="960" w:hanging="0"/>
        <w:jc w:val="left"/>
        <w:rPr>
          <w:rFonts w:ascii="Times New Roman" w:hAnsi="Times New Roman"/>
          <w:b/>
          <w:sz w:val="19"/>
        </w:rPr>
      </w:pPr>
      <w:r>
        <w:rPr>
          <w:rFonts w:ascii="Times New Roman" w:hAnsi="Times New Roman"/>
          <w:b/>
          <w:sz w:val="19"/>
        </w:rPr>
        <w:t xml:space="preserve">Neither the U.S. Securities and Exchange Commission nor any state securities commission has approved or disapproved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60" w:after="0"/>
        <w:ind w:left="960" w:right="960" w:hanging="0"/>
        <w:jc w:val="center"/>
        <w:rPr>
          <w:rFonts w:ascii="Times New Roman" w:hAnsi="Times New Roman"/>
          <w:b/>
          <w:sz w:val="19"/>
        </w:rPr>
      </w:pPr>
      <w:r>
        <w:rPr>
          <w:rFonts w:ascii="Times New Roman" w:hAnsi="Times New Roman"/>
          <w:b/>
          <w:sz w:val="19"/>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right"/>
        <w:rPr>
          <w:rFonts w:ascii="Times New Roman" w:hAnsi="Times New Roman"/>
          <w:b/>
          <w:sz w:val="16"/>
        </w:rPr>
      </w:pPr>
      <w:r>
        <w:rPr>
          <w:rFonts w:ascii="Times New Roman" w:hAnsi="Times New Roman"/>
          <w:b/>
          <w:sz w:val="16"/>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51"/>
        <w:gridCol w:w="151"/>
        <w:gridCol w:w="60"/>
        <w:gridCol w:w="381"/>
        <w:gridCol w:w="62"/>
      </w:tblGrid>
      <w:tr>
        <w:trPr/>
        <w:tc>
          <w:tcPr>
            <w:tcW w:w="955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51" w:type="dxa"/>
            <w:tcBorders/>
          </w:tcPr>
          <w:p>
            <w:pPr>
              <w:pStyle w:val="TableContents"/>
              <w:bidi w:val="0"/>
              <w:spacing w:before="0" w:after="283"/>
              <w:jc w:val="left"/>
              <w:rPr/>
            </w:pPr>
            <w:hyperlink w:anchor="tx934557_1">
              <w:r>
                <w:rPr>
                  <w:rStyle w:val="InternetLink"/>
                </w:rPr>
                <w:t>PROSPECTUS SUMMARY</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2">
              <w:r>
                <w:rPr>
                  <w:rStyle w:val="InternetLink"/>
                </w:rPr>
                <w:t>THE OFFERING</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12</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3">
              <w:r>
                <w:rPr>
                  <w:rStyle w:val="InternetLink"/>
                </w:rPr>
                <w:t>RISK FACTORS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13</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4">
              <w:r>
                <w:rPr>
                  <w:rStyle w:val="InternetLink"/>
                </w:rPr>
                <w:t>CAUTIONARY STATEMENT CONCERNING FORWARD-LOOKING STATEMENTS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43</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5">
              <w:r>
                <w:rPr>
                  <w:rStyle w:val="InternetLink"/>
                </w:rPr>
                <w:t>THE SEPARATION AND DISTRIBUTION</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44</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6">
              <w:r>
                <w:rPr>
                  <w:rStyle w:val="InternetLink"/>
                </w:rPr>
                <w:t>USE OF PROCEEDS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46</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7">
              <w:r>
                <w:rPr>
                  <w:rStyle w:val="InternetLink"/>
                </w:rPr>
                <w:t>MARKET PRICE OF SHARES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47</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8">
              <w:r>
                <w:rPr>
                  <w:rStyle w:val="InternetLink"/>
                </w:rPr>
                <w:t>DIVIDEND POLICY</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48</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9">
              <w:r>
                <w:rPr>
                  <w:rStyle w:val="InternetLink"/>
                </w:rPr>
                <w:t>UNAUDITED PRO FORMA CONDENSED COMBINED FINANCIAL INFORMATION</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49</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0">
              <w:r>
                <w:rPr>
                  <w:rStyle w:val="InternetLink"/>
                </w:rPr>
                <w:t>NOTES TO UNAUDITED PRO FORMA CONDENSED COMBINED FINANCIAL INFORMATION</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54</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1">
              <w:r>
                <w:rPr>
                  <w:rStyle w:val="InternetLink"/>
                </w:rPr>
                <w:t>MANAGEMENTS DISCUSSION AND ANALYSIS OF FINANCIAL CONDITION AND RESULTS OF OPERATIONS</w:t>
              </w:r>
            </w:hyperlink>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2">
              <w:r>
                <w:rPr>
                  <w:rStyle w:val="InternetLink"/>
                </w:rPr>
                <w:t>BUSINESS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83</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3">
              <w:r>
                <w:rPr>
                  <w:rStyle w:val="InternetLink"/>
                </w:rPr>
                <w:t>MANAGEMENT</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92</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4">
              <w:r>
                <w:rPr>
                  <w:rStyle w:val="InternetLink"/>
                </w:rPr>
                <w:t>DIRECTOR COMPENSATION</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101</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5">
              <w:r>
                <w:rPr>
                  <w:rStyle w:val="InternetLink"/>
                </w:rPr>
                <w:t>EXECUTIVE COMPENSATION COMPENSATION DISCUSSION AND ANALYSIS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104</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6">
              <w:r>
                <w:rPr>
                  <w:rStyle w:val="InternetLink"/>
                </w:rPr>
                <w:t>CERTAIN RELATIONSHIPS AND RELATED PARTY TRANSACTIONS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142</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7">
              <w:r>
                <w:rPr>
                  <w:rStyle w:val="InternetLink"/>
                </w:rPr>
                <w:t>U.S. FEDERAL INCOME TAX CONSIDERATIONS FOR NON-U.S. HOLDERS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147</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8">
              <w:r>
                <w:rPr>
                  <w:rStyle w:val="InternetLink"/>
                </w:rPr>
                <w:t>DESCRIPTION OF MATERIAL INDEBTEDNESS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150</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19">
              <w:r>
                <w:rPr>
                  <w:rStyle w:val="InternetLink"/>
                </w:rPr>
                <w:t>PRINCIPAL AND SELLING STOCKHOLDERS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151</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20">
              <w:r>
                <w:rPr>
                  <w:rStyle w:val="InternetLink"/>
                </w:rPr>
                <w:t>DESCRIPTION OF SANDISK CORPORATION CAPITAL STOCK</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153</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21">
              <w:r>
                <w:rPr>
                  <w:rStyle w:val="InternetLink"/>
                </w:rPr>
                <w:t>PLAN OF DISTRIBUTION</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157</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22">
              <w:r>
                <w:rPr>
                  <w:rStyle w:val="InternetLink"/>
                </w:rPr>
                <w:t>LEGAL MATTERS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165</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23">
              <w:r>
                <w:rPr>
                  <w:rStyle w:val="InternetLink"/>
                </w:rPr>
                <w:t>EXPERTS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165</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24">
              <w:r>
                <w:rPr>
                  <w:rStyle w:val="InternetLink"/>
                </w:rPr>
                <w:t>WHERE YOU CAN FIND MORE INFORMATION</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165</w:t>
            </w:r>
          </w:p>
        </w:tc>
        <w:tc>
          <w:tcPr>
            <w:tcW w:w="62" w:type="dxa"/>
            <w:tcBorders/>
          </w:tcPr>
          <w:p>
            <w:pPr>
              <w:pStyle w:val="TableContents"/>
              <w:bidi w:val="0"/>
              <w:spacing w:before="0" w:after="283"/>
              <w:jc w:val="left"/>
              <w:rPr/>
            </w:pPr>
            <w:r>
              <w:rPr/>
              <w:t> </w:t>
            </w:r>
          </w:p>
        </w:tc>
      </w:tr>
      <w:tr>
        <w:trPr/>
        <w:tc>
          <w:tcPr>
            <w:tcW w:w="9551" w:type="dxa"/>
            <w:tcBorders/>
          </w:tcPr>
          <w:p>
            <w:pPr>
              <w:pStyle w:val="TableContents"/>
              <w:bidi w:val="0"/>
              <w:spacing w:before="0" w:after="283"/>
              <w:jc w:val="left"/>
              <w:rPr/>
            </w:pPr>
            <w:hyperlink w:anchor="tx934557_25">
              <w:r>
                <w:rPr>
                  <w:rStyle w:val="InternetLink"/>
                </w:rPr>
                <w:t>INDEX TO FINANCIAL STATEMENTS</w:t>
              </w:r>
            </w:hyperlink>
          </w:p>
        </w:tc>
        <w:tc>
          <w:tcPr>
            <w:tcW w:w="15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81" w:type="dxa"/>
            <w:tcBorders/>
          </w:tcPr>
          <w:p>
            <w:pPr>
              <w:pStyle w:val="TableContents"/>
              <w:bidi w:val="0"/>
              <w:spacing w:before="0" w:after="283"/>
              <w:jc w:val="right"/>
              <w:rPr/>
            </w:pPr>
            <w:r>
              <w:rPr/>
              <w:t>F-1</w:t>
            </w:r>
          </w:p>
        </w:tc>
        <w:tc>
          <w:tcPr>
            <w:tcW w:w="62"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Securities and Exchange Commission (the SEC) using a shelf registration process. Under this shelf registration process, the selling stockholder may, from time to time, offer and sell, in one or more offerings,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At the time the selling stockholder offers shares of our common stock registered by this prospectus, we will provide a prospectus supplement that will contain specific information about the terms of the offering and that may add to or update the information in this prospectus. If the information in this prospectus is inconsistent with a prospectus supplement, you should rely on the information in that prospectus supplement. You should read both this prospectus and the applicable prospectus supplement as well as any post-effective amendments to the registration statement of which this prospectus forms a part before you make any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in this prospectus or contained in any free writing prospectus prepared by or on behalf of us that we have referred to you. Neither we nor the selling stockholder have authorized anyone to provide you with additional information or information different from that contained in this prospectus or in any free writing prospectus filed with the SEC and we take no responsibility for any other information that others may give you. The selling stockholder is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shares of our common stock. Our business, operating results or financial condition may have changed since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Presentation of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prospectus to Sandisk Corporation, we, us, our, our company, the company and the Company refer to Sandisk Corporation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prospectus to WDC refer to Western Digital Corporation and its consolidated subsidiaries, unless the context otherwise requires or as otherwise specified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prospectus to the Flash Business refer to the flash business of WDC and its subsidiaries, including the business of marketing, offering, selling, licensing, providing, distributing, developing, manufacturing, importing or exporting flash business products, prior to the separation and distribution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prospectus to the separation and spin-off refer to the separation of the Flash Business from WDCs other businesses and the creation, as a result of the distribution, of an independent, publicly traded company, Sandisk Corporation, which holds the assets and liabilities associated with the Flash Business following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prospectus to the distribution refer to the distribution on February 21, 2025, of 80.1% of Sandisk Corporations issued and outstanding shares of common stock to WDC stockholders as of 1:00 p.m. Pacific time on February 12, 2025, the record date for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prospectus to Sandisk Corporations historical assets, liabilities, products, businesses or activities generally refer to the historical assets, liabilities, products, businesses or activities of the Flash Business as the business was conducted as part of WDC prior to the completion of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in this prospectus to the selling stockholder refer to Western Digital Corporation and its pledgees, donees, transferees, assignees, successors, designees and others who later come to hold any of the selling stockholders interest in our common stock other than through a public sale, including, if applicable, the debt-for-equity exchange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Financial Statements of Sandisk Corporation included in this prospectus assume the completion of all of the transactions referred to in this prospectus in connection with the separation and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FINANCIAL STATEMENT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certain historical combined financial and other data for Sandisk (referred to as the Flash Business of Western Digital Corporation or the Business in the historical combined financial statements and related notes thereto). In connection with the spin-off, Sandisk is the holder of the assets and liabilities of all of WDCs Flash Business (as defined herein). Sandisk is the registrant under the registration statement of which this prospectus forms a part and is the financial reporting entity hereunder. This prospectus also includes summary unaudited pro forma condensed combined balance sheet data as of December 27, 2024, and summary unaudited pro forma condensed combined statement of operations data for the six months ended December 27, 2024 and the fiscal year ended June 28, 2024, which present our combined financial position and results of operations after giving effect to the separation and distribution, and the other transactions described under Unaudited Pro Forma Condensed Combined Financial Information. The unaudited pro forma condensed combined financial information is presented for illustrative purposes only and is not necessarily indicative of the operating results or financial position that would have occurred if the relevant transactions had been consummated on the date indicated, nor is it indicative of future operating results. You should read the section of this prospectus entitled Unaudited Pro Forma Condensed Combined Financial Information and Notes to Unaudited Pro Forma Condensed Combined Financial Information, which are qualified in their entirety by reference to our combined financial statements and related notes thereto, the consolidated financial statements of WDC and related notes thereto and the financial and other information, including in the sections of this prospectus entitled Risk Factors and Managements Discussion and Analysis of Financial Condition and Results of Operations. </w:t>
      </w:r>
    </w:p>
    <w:p>
      <w:pPr>
        <w:pStyle w:val="TextBody"/>
        <w:bidi w:val="0"/>
        <w:spacing w:before="480" w:after="0"/>
        <w:jc w:val="center"/>
        <w:rPr>
          <w:rFonts w:ascii="Times New Roman" w:hAnsi="Times New Roman"/>
          <w:b/>
          <w:sz w:val="20"/>
        </w:rPr>
      </w:pPr>
      <w:r>
        <w:rPr>
          <w:rFonts w:ascii="Times New Roman" w:hAnsi="Times New Roman"/>
          <w:b/>
          <w:sz w:val="20"/>
        </w:rPr>
        <w:t xml:space="preserve">MARKET, INDUSTRY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information contained in this prospectus concerning our industry and the markets in which we operate, including our general expectations and market position, market opportunity and market share, is based on information from third-party sources, our own analysis of data received from these third-party sources, our own internal data, market research that we commission and management estimates. Our management estimates are derived from publicly available information, our knowledge of our industry and assumptions based on such information and knowledge, which we believe to be reasonable. Assumptions and estimates of our and our industrys future performance are necessarily subject to a high degree of uncertainty and risk due to a variety of factors, including those described under the section of this prospectus entitled Risk Factors. These and other factors could cause future performance to differ materially from our assumptions and estimates. For additional information, see the sections of this prospectus entitled Risk Factors and Cautionary Statement Concerning Forward-Looking Statements.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trade names, trademarks or service marks belonging to other companies. Such trade names, trademarks or service marks are the property of their respective owners, and we do not intend any use or display of other parties trademarks, trade names or service marks to imply a relationship with, or endorsement or sponsorship of us by, these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934557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summary of selected information discussed in this prospectus. This summary may not contain all of the information that may be important to you. To better understand our business and financial position, you should carefully review this entire prospectus. Unless the context otherwise requires, references in this prospectus to Sandisk Corporation, we, us, our, our company, the company and the Company refer to Sandisk Corporation, a Delaware corporation, and its subsidiaries. The Combined Financial Statements of Sandisk Corporation assume the completion of all of the transactions referred to in this prospectus in connection with the separation and distribution. Unless the context otherwise requires, references in this prospectus to WDC refer to Western Digital Corporation, a Delaware corporation, and its consolidated subsidiaries, including the Flash Business prior to completion of the separation.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the context otherwise requires, references in this prospectus to our historical assets, liabilities, products, businesses or activities of our businesses are generally intended to refer to the historical assets, liabilities, products, businesses or activities of WDCs Flash Business prior to completion of the separation.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Sandisk is a leading developer, manufacturer and provider of data storage devices and solutions based on NAND flash technology and has significant consumer brands and franchises globally, with market leading name brand recognition. With a differentiated innovation engine driving advancements in storage and semiconductor technologies, we deliver a broad and ever-expanding portfolio of powerful flash storage solutions for everyone from students, gamers and home offices, to the largest enterprises and public clouds to capture, preserve, access and transform an ever-increasing diversity of data. Our solutions include a broad range of solid state drives (or SSDs) embedded products, removable cards, universal serial bus (or USB) drives, and wafers and components. Our broad portfolio of technology and products addresses multiple end markets of Cloud, Client and Consumer.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Through the Client end market, we provide our original equipment manufacturer (or OEM)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capitalizes on the strength of our product brand recognition and vast points of presence around the world. Cloud is comprised primarily of products for public or private cloud environments and end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valuable patent portfolios containing approximately 7,900 granted patents and approximately 2,800 pending patent applications worldwide. We have a rich heritage of innovation and operational excellence, a wide range of intellectual property assets, broad research and development capabilities, and large-scale, efficient manufacturing supply chains. The strong growth in the amount, value and use of data continues, creating a global need for larger, faster and more capable storage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customer-focused organization that has developed deep relationships with industry leaders to continue to deliver innovative solutions to help users capture, store and, transform data across a boundless range of applications. We help original equipment manufacturers address storage opportunities and solutions to capture and transform data in a myriad of devices and edge technologies. We have also built strong consumer brands with tools to manage vast libraries of personal content and to push the limits of whats possible for storage. At Sandisk, we continue to transform ourselves to address the growth in data by providing what we believe to be the broadest range of storage technologies in the industry with a comprehensive product portfolio and global 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operate in the data storage industry. The ability to access, store and share data from anywhere on any device is increasingly important to our customers and end users. From the intelligent edge to the cloud, data storage is a fundamental component underpinning the global technology architecture. Our strengths in innovation and cost leadership, diversified flash product portfolio and broad routes to market provide a foundation upon which we are solidifying our position as an essential building block of the digital economy. There is tremendous market opportunity flowing from the rapid global adoption of the technology architecture built with cloud infrastructure tied to intelligent endpoints all connected by high-performance networks. The value and urgency of data storage at every point across this architecture have never been clearer.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increase in computing complexity and advancements in artificial intelligence, along with growth in cloud computing applications, connected mobile devices and Internet-connected products and edge devices is driving unabated growth in the volume of digital content to be stored and used. We believe our expertise and innovation in flash technology enable us to bring powerful solutions to a broader range of applications. We continuously monitor the full array of flash-based storage technologies, including reviewing these technologies with our customers, to ensure we are appropriately resourced to meet our customers storage needs.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Flash Technology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Flash products provide non-volatile data storage based on flash technology. We develop and manufacture solid state storage products for a variety of applications including enterprise or cloud storage, client storage, automotive, mobile devices and removable memory devices. Over time, we have successfully developed and commercialized successive generations of 2- and 3-dimensional flash technology with increased numbers of storage bits per cell in an increasingly smaller form factor, further driving cost reductions. We devote significant research and development resources to the development of highly reliable, high-performance, cost-effective flash-based technology and are continually pursuing developments in next-generation flash-based technology capacities. 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 of use.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Data Solutions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broad portfolio of technology and products addresses multiple end markets of Cloud, Client and Consumer and are comprised of the SanDisk® brand. Certain of our products will also be sold for a limited transitional period under the Western Digital®, WD® and other brands under license from WDC.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Cloud represents a large and growing end market comprised primarily of products for public or private cloud environments and enterprise customers. We provide the Cloud end market with an array of high-performance enterprise solid state drives. Our high-performance enterprise class solid state drives include high-performance flash-based solid state drives and software solutions that are optimized for performance applications providing a range of capacity and performance levels primarily for use in enterprise servers and supporting high-volume online transactions, artificial intelligence-related workloads, data analysis and other enterprise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Through the Client end market, we provide numerous data solutions that we incorporate into our clients devices, which consist of solid state drive desktop and notebook personal computers, gaming consoles and set top boxes, as well as flash-based embedded storage products for mobile phones, tablets, notebook personal computers and other portable and wearable devices, automotive applications, Internet of Things, industrial and connected home applications. Our solid state drives are designed for use in devices requiring high performance, reliability and capacity with various attributes such as low cost per gigabyte, quiet acoustics, low power consumption and protection against shocks.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serve the Consumer end market with a portfolio of solid state drives and removable flash, including cards and universal serial bus flash drives, through our retail and channel routes to market. We offer client portable solid state drives with a range of capacities and performance characteristics to address a broad spectrum of the client storage market. Our removable cards are designed primarily for use in consumer devices, such as mobile phones, tablets, imaging systems, cameras and smart video systems. Our universal serial bus flash drives are used in the computing and consumer markets and are designed for high-performance and reliability.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Competition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industry is highly competitive. We believe we are well positioned with our leading flash product portfolio, premium consumer brand, differentiated semiconductor innovation engine and leadership in driving cost efficiency. Nevertheless, we face strong competition from other manufacturers of flash in the Cloud, Client and Consumer end markets. We compete with vertically integrated suppliers such as Kioxia Corporation (Kioxia), Micron Technology, Inc., Samsung Electronics Co., Ltd., SK Hynix, Inc., Yangtze Memory Technologies Co., Ltd. and numerous smaller companies that assemble flash into products.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overall strategy is to leverage our innovation, technology and execution capabilities to be an industry-leading and broad-based developer, manufacturer and provider of storage devices and solutions that support the infrastructure that has enabled the unabated proliferation of data. We strive to successfully execute our strategy through the following foundational elements in order to create long-term value for our customers, partners, investors and employees: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Innovation and Cost Leadership</w:t>
            </w:r>
            <w:r>
              <w:rPr>
                <w:rFonts w:ascii="Times New Roman" w:hAnsi="Times New Roman"/>
                <w:sz w:val="20"/>
              </w:rPr>
              <w:t xml:space="preserve">: We continue to innovate and develop advanced technologies across platforms to deliver timely new products and solutions to meet growing demands for scale, performance and cost efficiency in the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Broad Product Portfolio</w:t>
            </w:r>
            <w:r>
              <w:rPr>
                <w:rFonts w:ascii="Times New Roman" w:hAnsi="Times New Roman"/>
                <w:sz w:val="20"/>
              </w:rPr>
              <w:t xml:space="preserve">: We leverage our capabilities in firmware, software and systems to deliver compelling and differentiated integrated storage solutions to our customers that offer the best combinations of performance, cost, power consumption, form factor, quality and reliability, while creating new use cases for our solutions in emerging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Operational Excellence</w:t>
            </w:r>
            <w:r>
              <w:rPr>
                <w:rFonts w:ascii="Times New Roman" w:hAnsi="Times New Roman"/>
                <w:sz w:val="20"/>
              </w:rPr>
              <w:t xml:space="preserve">: We are focused on delivering the best value for our customers in Cloud, Client and Consumer end markets through a relentless focus on appropriately scaling our operations to efficiently support business growth; achieving best in class cost, quality and cycle-time; maintaining industry leading manufacturing capabilities; and having a competitive advantage in supply-chain management.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strategy provides the following benefits, which distinguish us in the dynamic and competitive data storage industry: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varied product portfolio that establishes us as a leading developer and manufacturer of integrated products and solutions, making us a strategic supply partner to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efficient and flexible manufacturing capabilities, allowing us to leverage our flash research and development and capital expenditures to deliver innovative and cost-effective storage solutions to multiple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deep relationships with industry leaders across the data ecosystems that give us the broadest routes to market;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leading consumer brand awareness and global retail distribution presence.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Operations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flash consists of flash-based memory, controllers and firmware and other components. Substantially all of our flash-based memory is obtained from our joint ventures with Kioxia, which provide us with leading-edge, high-quality and low-cost flash memory wafers. While substantially all of our flash memory supply utilized for our products is purchased from these ventures, from time to time, we also purchase flash memory from other flash manufacturers. Controllers are primarily designed in-house and manufactured by third-party foundries or acquired from third-party suppliers. Our assembly and test operations comprise in-house assembly and test facilities located in Penang, Malaysia and other contract manufacturers, and the assembly and test facility owned and operated by the venture established with JCET Management Co., Ltd. in Shanghai, China. We believe the use of our in-house assembly and test facilities and manufacturing partners provides flexibility and gives us access to increased production capacity.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and Kioxia currently operate three business ventures, Flash Partners Ltd., Flash Alliance Ltd. and Flash Forward Ltd. (collectively, Flash Ventures), across seven flash-based manufacturing facilities in Japan, six of which are located in Yokkaichi, Japan and one of which is located in Kitakami, Japan. Flash Ventures will begin flash-based manufacturing operations at an eighth facility in Japan in calendar year 2025. Through Flash Ventures, we and Kioxia collaborate in the development and manufacture of flash-based memory wafers using semiconductor manufacturing equipment owned or leased by each of the Flash Ventures entities. We co-develop flash technologies (including process technology and memory design) with Kioxia for Flash Ventures use. We and Kioxia jointly own these co-developed flash technologies. We and Kioxia also contribute to the collaboration and license to each other technologies that are independently developed and owned by each of us and are reasonably necessary to our joint development or manufacture of flash-based memory. We hold a 49.9% ownership position in each of the Flash Ventures entities. We jointly control with Kioxia the operations of Flash Ventures, and we believe our participation in Flash Ventures helps us reduce product costs, increases our ability to control to the quality of our products and speeds delivery of our products to our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Kioxia owns the facilities and provides wafer manufacturing services to Flash Ventures at cost using manufacturing equipment owned or leased by Flash Ventures and process technologies co-owned or contributed by us and Kioxia. Flash Ventures accounts for approximately 80% of the total manufacturing capacity in the facilities owned by Kioxia. We and Kioxia are entitled to purchase a share of Flash Ventures output, which generally equals 50% each. The price for which we and Kioxia pay Flash Ventures for flash memory wafers is cost plus a small markup. We are obligated to pay for variable costs incurred in producing our share of Flash Ventures flash-based memory wafer supply, based on a rolling forecast. In addition, we are obligated to pay for half of Flash Ventures fixed costs regardless of the output we choose to purchase.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Flash Ventures is operating, we and Kioxia are restricted from working with third parties to manufacture flash-based memory or from fabricating flash-based memory beyond the capacity specified in our agreements with Kioxia. In addition, we may not manufacture flash-based memory ourselves except to the extent that we acquire the manufacturing capacity of a Flash Ventures entity as a result of such entitys dissolution or termination of its joint venture agreements or upon our acquisition of all the ownership interests in such entity.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agreements governing the operations of the Flash Ventures entities also set out a framework for any investment by the joint venture partners in flash manufacturing capacity. We have jointly invested, and intend to continue to jointly invest, with Kioxia in the manufacturing equipment needed to support Flash Ventures flash manufacturing operations. In addition, we are obligated to fund 49.9% to 50.0% of capital investments that a Flash Ventures entity decided to make to the extent that the Flash Ventures entitys operating cash flow is insufficient to fund these 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Flash Ventures entity operates for a set amount of time as agreed between us and Kioxia. Since the start of Flash Ventures, we and Kioxia have extended the term for all three of the Flash Ventures entities. Absent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extensions as mutually agreed between us and Kioxia, Flash Partners Ltd. and Flash Alliance Ltd. are currently set to expire on December 31, 2029, and Flash Forward Ltd. is currently set to expire on December 31, 2034. Each Flash Ventures entitys joint venture agreements may also earlier terminate upon the occurrence of certain specified events, including earlier dissolution by agreement of the parties or an event of default or bankruptcy. Upon the expiration of a Flash Ventures entitys joint venture agreements, whenever that may occur, the applicable Flash Ventures entity will commence a wind-up process and be dissolved. Net proceeds from the dissolution will be distributed in kind or cash to us and Kioxia on a pro rata basis based on our respective ownership positions. The applicable Flash Venture entity will continue to operate during the period of winding up.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24, 2025, the Company and WDC entered into an equity transfer agreement (the Equity Transfer Agreement) to transfer WDCs entire equity interest in Unisplendour Corporation Limited and Unissoft (Wuxi) Group Co. Ltd. (Unis), referred to as the Unis Venture, to the Company. The Unis Venture is 49% owned by the Company and 51% owned by Unis. The Unis Venture markets and sells the Companys products in China and develops data storage systems for the Chinese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execution of the Equity Transfer Agreement, the Unis Venture was not historically managed as a component of the Company and as such, the related equity method investment was not reflected within our Condensed Consolidated Financial Statements. After the execution of the Equity Transfer Agreement, the Company accounts for its investment in the Unis Venture under the equity method of accounting. The Companys 49% interest in the earnings of the Unis Venture will be recognized one quarter in arrears from the date the Unis Venture was transferred to the Company and will be reported in Other expense, net in the Condensed Consolidated Statements of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in September 2024, SanDisk China Limited, our wholly owned subsidiary, established a venture with JCET Management Co., Ltd. (JCET), referred to as the SDSS Venture, regarding the ownership and operations of our assembly and test facility in Shanghai, China. The SDSS Venture is 20% owned by Sandisk and 80% owned by JCET.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investment in our common stock is subject to a number of risks, including market, financial, regulatory and operational risks related to our business, our separation from WDC and our common stock. Set forth below are some, but not all, of these risks.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global or regional conditions could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a limited number of qualified suppliers who provide critical services, materials or components, and a disruption in our supply chain or other inability to source our supply requirements, or an increase in the costs of materials or components, could negatively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and those of certain of our suppliers and customers, are subject to substantial risk of damage or disruption;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our key management, staff and skilled employees, the inability to hire and develop new employees or decisions to realign our business could negatively impact our business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related to product defects, which could result in product recalls or epidemic failures and could subject us to warranty claims in excess of our warranty provisions or which are greater than anticipated, litigation or indemnification claims;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substantially on strategic relationships with various partners, including Kioxia, which subjects us to risks and uncertainties that could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participate in a highly competitive industry that is subject to declining average selling prices, volatile demand, rapid technological change and industry consolidation, as well as lengthy product qualifications, all of which can negatively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do not properly manage technology transitions and product development and introduction, our competitiveness and operating results may be negatively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from a key customer, or consolidation among our customer base, could harm our operating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in the distribution channel and to the retail market are important to our business, and if we fail to respond to demand changes within these markets, or maintain and grow our applicable market share, our business could suffer;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currency exchange rates as a result of our international operations impact our cost of revenue, margins, operating costs and cash flows and may negatively affect our operating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level of debt may negatively impact our liquidity, restrict our operations and ability to respond to business opportunities and increase our vulnerability to adverse economic and industry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certain of our officers may at times be involved in litigation, investigations and governmental proceedings, which may be costly, may divert the efforts of our key personnel and could result in adverse court rulings, fines or penalties, which could materially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compromise, damage or interruption of our technology infrastructure, systems or products by cyber incidents, data security breaches, other security problems, design defects or system failures could have a material negative impact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our industry and its reliance on intellectual property and other proprietary information subjects us and our suppliers, customers and partners to the risk of significant litigation;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and other proprietary information subjects us to the risk that these key components of our business could be copied by competitors;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material impairments in the value of our goodwill, intangible assets and other long-lived assets would negatively affect our operating results.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Spin-Off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achieve some or all of the expected benefits of the spin-off, and the spin-off may adversely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historical and pro forma financial information is not necessarily representative of the results that we would have achieved as a separate, publicly traded company and therefore may not be a reliable indicator of our future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our spin-off from WDC, WDC has agreed to indemnify us for certain liabilities. However, there can be no assurance that the indemnity will be sufficient to protect us against the full amount of such liabilities, or that WDCs ability to satisfy its indemnification obligation will not be impaired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our spin-off from WDC, we have agreed to assume, and indemnify WDC for, certain liabilities. If we are required to make payments pursuant to these indemnities to WDC, we would need to meet those obligations and our financial results could be adversely impacted;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distribution of shares of Sandisk, together with certain related transactions, does not continue to qualify as a reorganization within the meaning of sections 368(a)(1)(D), 361 and 355 of the Internal Revenue Code of 1986 (the Code) that is generally tax-free for U.S. federal income tax purposes (the Intended Tax Treatment), Sandisk, WDC and WDC stockholders that received shares of Sandisk in the distribution or receive shares in a clean-up distribution (as defined below) could be subject to significant U.S. federal income tax liability and, in certain circumstances, Sandisk could be required to indemnify WDC for material taxes pursuant to indemnification obligations under the tax matters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preserve the Intended Tax Treatment, under the tax matters agreement that Sandisk has entered into with WDC, Sandisk is restricted from taking certain actions after the distribution that could adversely impact the Intended Tax Treatment;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spin-off and related internal restructuring transactions may expose us to potential liabilities arising out of state and federal fraudulent conveyance laws and legal dividend requirements.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 price may fluctuate significantly, which may make it difficult for you to resell the common stock when you want or at prices you find attractive;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stockholder owns 28,827,787 shares of our common stock. We are registering on a registration statement on Form S-1, of which this prospectus forms a part, such shares under the terms of a stockholders and registration rights agreement between us and the selling stockholder. The sale of such shares in one or more offerings may cause our stock price to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Delaware law, our certificate of incorporation and our bylaws may prevent or delay an acquisition of our company, which could decrease the market price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WDCs common stock historically has been volatile, and the price of our common stock may continue to be volatile. This volatility may affect the price at which you could sell your common stock, and the sale of substantial amounts of our common stock could adversely affect the price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may materially affect our financial position and results of operations.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and other risks relating to our business, our industry, the spin-off and our common stock are discussed in greater detail under the section of this prospectus entitled Risk Factors. You should read and consider all of these risks carefully.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Separation and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30, 2023, WDC announced its intention to separate its Flash Business from its hard disk drive business (the HDD Business). WDC determined to implement this separation through the spin-off of WDCs Flash Business to its stockholders. Sandisk was formed to hold the Flash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25, 2025, the WDC Board of Directors approved the distribution of 80.1% of Sandisks issued and outstanding shares of common stock held by WDC to WDC stockholders on the basis of one share of our common stock for every three shares of WDC common stock held as of 1:00 p.m. Pacific time on February 12, 2025, the record date for the distribution (the Record Date), subject to certain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21, 2025, the distribution was effected and the separation became effective as of 11:59 p.m. Pacific time. Following the separation, we hold the assets and liabilities related to the Flash Business, subject to certain limited exceptions. After the separation, WDC continues to hold its HDD Business. To effect the separation, WDC undertook a series of internal restructuring transactions to separate the assets, liabilities and certain legal entities of WDC associated with the Flash Business to us, in exchange for a cash payment of approximately $1.5 billion by us to WDC with a portion of the net proceeds of a term loan facility described below under Financing Transactions. In conjunction with the separation, 116,035,464 shares of our common stock were distributed to WDC stockholders, as described below. Additionally, WDC retained 28,827,787 shares of our common stock representing its 19.9% retained interest. Regular-way trading of our common stock began with the opening of the Nasdaq on February 24, 2025, under the ticker symbol SNDK. Our common stock has a par value of $0.01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distribution, our stockholders (other than WDC) own directly 80.1% of the outstanding shares of our common stock and WDC retained 19.9% of the outstanding shares of our common stock. WDC (the selling stockholder named herein) intends to dispose of all of our common stock that it retains through one or more subsequent exchanges of our common stock for WDC debt held by WDC creditors and/or through distributions of our common stock to WDC stockholders as dividends or in exchange for outstanding shares of WDC common stock, in each case during the 12-month period following the distribution (any such distribution, a clean-up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registering the shares retained by WDC on a registration statement on Form S-1, of which this prospectus forms a part, under the terms of a stockholders and registration rights agreement between us and the selling stockholder.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Financing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21, 2025, we entered into a Loan Agreement (the Loan Agreement) by and among Sandisk, the lenders party thereto, JPMorgan Chase Bank, N.A., as administrative agent and collateral agent and the other parties party thereto. The Loan Agreement comprises a term loan B facility in the principal amount of $2.0 billion (the Term Loan Facility) and a revolving credit facility in the principal amount of $1.5 billion (the Revolving Credit Facility and together with the Term Loan Facility, the Facilities). On February 21, 2025, we borrowed $2.0 billion under the Term Loan Facility. There were no amounts outstanding as of April 30, 2025 under the Revolving Credit Facility. For additional information regarding the Loan Agreements and the Facilities, see the section entitled Description of Material Indebtedness.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Sandisks Post-Separation Relationship with WDC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21, 2025, we entered into a separation and distribution agreement with WDC. In connection with the separation, we also entered into various other agreements to effect the separation and provide a framework for our relationship with WDC after the separation, including a transition services agreement, a tax matters agreement, an employee matters agreement, an intellectual property cross-license agreement, a transitional trademark license agreement and a stockholders and registration rights agreement with respect to WDCs continuing ownership of Sandisks common stock. These agreements provide for the allocation between us and WDC of WDCs assets, employees, liabilities and obligations (including investments, property and employee benefits and tax-related assets and liabilities) attributable to periods prior to, at and after our separation from WDC and govern certain relationships between us and WDC after the separation. For additional information regarding the separation and distribution agreement and other transaction agreements, see the sections entitled Risk FactorsRisks Related to the Spin-off and Certain Relationships and Related Party Transactions. For additional information regarding the internal reorganization, see the section entitled The Separation and DistributionInternal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Sandisk Corporation was incorporated in Delaware for the purpose of holding WDCs Flash Business in connection with the separation and distribution described herein. Prior to the transfer of these businesses to us by WDC, which occurred prior to the distribution, Sandisk Corporation had no operations. The address of our principal executive offices is 951 Sandisk Drive, Milpitas, California 95035. Our telephone number is (408) 801-1000. We maintain a website at www.sandisk.com. </w:t>
      </w:r>
      <w:r>
        <w:rPr>
          <w:rFonts w:ascii="Times New Roman" w:hAnsi="Times New Roman"/>
          <w:b/>
          <w:sz w:val="20"/>
          <w:bdr w:val="single" w:sz="8" w:space="1" w:color="000000"/>
        </w:rPr>
        <w:t>The information contained on our website or that can be accessed through our website neither constitutes part of this prospectus nor is incorporated by reference herein, and investors should not rely on any such information in deciding whether to invest in our common stock.</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Historical and Unaudited Pro Forma Condensed Combined Financial Data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certain select combined financial data as of December 27, 2024, June 28, 2024, and June 30, 2023, the six months ended December 27, 2024 and December 29, 2023, and the fiscal years ended June 28, 2024, June 30, 2023, and July 1, 2022, and have been derived from our unaudited Pro Forma Condensed Combined Financial Information, unaudited Condensed Combined Financial Statements and Combined Financial Statements and notes thereto included elsewhere in this prospectus. The unaudited pro forma adjustments to the Combined Statements of Operations assume that the spin-off and related transactions occurred as of July 1, 2023, which was the first day of the 2024 fiscal year. The unaudited pro forma Condensed Combined Balance Sheet gives effect to the spin-off and related transactions as if they had occurred on December 27, 2024, our latest balance sheet date. The unaudited Condensed Combined Financial Statements and Combined Financial Statements include the assets, liabilities, revenues and expenses that management has determined are specifically or primarily identifiable to us as well as direct and indirect costs that are attributable to our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certain select combined financial data below are only a summary and should be read in conjunction with the sections of this prospectus titled Unaudited Pro Forma Condensed Combined Financial Information and Managements Discussion and Analysis of Financial Condition and Results of Operations as well as our Combined Financial Statements and the notes thereto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certain select combined financial data are based upon available information and assumptions that we believe are reasonable and supportable and may not necessarily reflect what our financial condition, results of operations or cash flows would have been had we been a standalone company during the periods presented, including changes that have occurred or will occur in our operations and capital structure as a result of the spin-off, such as changes in financing, operations, cost structure and personnel needs of our business. The certain select combined financial data constitute forward-looking information and are subject to certain risks and uncertainties that could cause actual results to differ materially from those anticipated. See the section of this prospectus entitled Cautionary Statement Concerning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Sandisk Corporation </w:t>
      </w:r>
    </w:p>
    <w:p>
      <w:pPr>
        <w:pStyle w:val="TextBody"/>
        <w:bidi w:val="0"/>
        <w:spacing w:before="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Select Combined Financial Data </w:t>
      </w:r>
    </w:p>
    <w:p>
      <w:pPr>
        <w:pStyle w:val="TextBody"/>
        <w:bidi w:val="0"/>
        <w:spacing w:before="0" w:after="0"/>
        <w:jc w:val="left"/>
        <w:rPr>
          <w:bdr w:val="single" w:sz="8" w:space="1" w:color="000000"/>
        </w:rPr>
      </w:pPr>
      <w:r>
        <w:rPr>
          <w:bdr w:val="single" w:sz="8" w:space="1" w:color="000000"/>
        </w:rPr>
        <w:t> </w:t>
      </w:r>
    </w:p>
    <w:tbl>
      <w:tblPr>
        <w:tblW w:w="10640" w:type="dxa"/>
        <w:jc w:val="center"/>
        <w:tblInd w:w="0" w:type="dxa"/>
        <w:tblLayout w:type="fixed"/>
        <w:tblCellMar>
          <w:top w:w="0" w:type="dxa"/>
          <w:left w:w="0" w:type="dxa"/>
          <w:bottom w:w="0" w:type="dxa"/>
          <w:right w:w="0" w:type="dxa"/>
        </w:tblCellMar>
      </w:tblPr>
      <w:tblGrid>
        <w:gridCol w:w="1505"/>
        <w:gridCol w:w="120"/>
        <w:gridCol w:w="283"/>
        <w:gridCol w:w="1132"/>
        <w:gridCol w:w="155"/>
        <w:gridCol w:w="60"/>
        <w:gridCol w:w="175"/>
        <w:gridCol w:w="700"/>
        <w:gridCol w:w="155"/>
        <w:gridCol w:w="60"/>
        <w:gridCol w:w="283"/>
        <w:gridCol w:w="1132"/>
        <w:gridCol w:w="155"/>
        <w:gridCol w:w="60"/>
        <w:gridCol w:w="283"/>
        <w:gridCol w:w="1132"/>
        <w:gridCol w:w="155"/>
        <w:gridCol w:w="60"/>
        <w:gridCol w:w="175"/>
        <w:gridCol w:w="700"/>
        <w:gridCol w:w="155"/>
        <w:gridCol w:w="60"/>
        <w:gridCol w:w="158"/>
        <w:gridCol w:w="717"/>
        <w:gridCol w:w="155"/>
        <w:gridCol w:w="60"/>
        <w:gridCol w:w="140"/>
        <w:gridCol w:w="560"/>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w:t>
            </w:r>
            <w:r>
              <w:rPr/>
              <w:br/>
            </w:r>
            <w:r>
              <w:rPr>
                <w:b/>
              </w:rPr>
              <w:t>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br/>
              <w:t>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b/>
              </w:rPr>
            </w:pPr>
            <w:r>
              <w:rPr>
                <w:b/>
              </w:rPr>
              <w:t>(In millions, except per share</w:t>
              <w:br/>
              <w:t>amounts)</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29,</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b/>
              </w:rPr>
              <w:t>July 1,</w:t>
            </w:r>
            <w:r>
              <w:rPr/>
              <w:br/>
            </w:r>
            <w:r>
              <w:rPr>
                <w:b/>
              </w:rPr>
              <w:t>2022</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3,759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6,663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3,759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3,198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6,663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6,086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9,754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2,425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5,578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2,427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3,225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5,591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5,656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6,510</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1,334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1,085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1,332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1,072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b/>
              </w:rPr>
            </w:pPr>
            <w:r>
              <w:rPr>
                <w:b/>
              </w:rPr>
              <w:t>430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3,244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1,068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1,061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1,167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1,362</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558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666</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business divestiture</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671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863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1,629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705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1,540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b/>
              </w:rPr>
            </w:pPr>
            <w:r>
              <w:rPr>
                <w:b/>
              </w:rPr>
              <w:t>2,465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2,044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471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b/>
              </w:rPr>
            </w:pPr>
            <w:r>
              <w:rPr>
                <w:b/>
              </w:rPr>
              <w:t>(544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486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(732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b/>
              </w:rPr>
            </w:pPr>
            <w:r>
              <w:rPr>
                <w:b/>
              </w:rPr>
              <w:t>(468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b/>
              </w:rPr>
            </w:pPr>
            <w:r>
              <w:rPr>
                <w:b/>
              </w:rPr>
              <w:t>(2,035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1,200</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 and other income (expense):</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interest and other income (expense), net</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(122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(46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(22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b/>
              </w:rPr>
            </w:pPr>
            <w:r>
              <w:rPr>
                <w:b/>
              </w:rPr>
              <w:t>(35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b/>
              </w:rPr>
            </w:pPr>
            <w:r>
              <w:rPr>
                <w:b/>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b/>
              </w:rPr>
            </w:pPr>
            <w:r>
              <w:rPr>
                <w:b/>
              </w:rPr>
              <w:t>34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taxes</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349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b/>
              </w:rPr>
            </w:pPr>
            <w:r>
              <w:rPr>
                <w:b/>
              </w:rPr>
              <w:t>(707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440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(754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b/>
              </w:rPr>
            </w:pPr>
            <w:r>
              <w:rPr>
                <w:b/>
              </w:rPr>
              <w:t>(503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b/>
              </w:rPr>
            </w:pPr>
            <w:r>
              <w:rPr>
                <w:b/>
              </w:rPr>
              <w:t>(2,002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1,234</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b/>
              </w:rPr>
            </w:pPr>
            <w:r>
              <w:rPr>
                <w:b/>
              </w:rPr>
              <w:t>$</w:t>
            </w:r>
          </w:p>
        </w:tc>
        <w:tc>
          <w:tcPr>
            <w:tcW w:w="1132" w:type="dxa"/>
            <w:tcBorders/>
            <w:vAlign w:val="bottom"/>
          </w:tcPr>
          <w:p>
            <w:pPr>
              <w:pStyle w:val="TableContents"/>
              <w:bidi w:val="0"/>
              <w:spacing w:before="0" w:after="283"/>
              <w:jc w:val="right"/>
              <w:rPr>
                <w:b/>
              </w:rPr>
            </w:pPr>
            <w:r>
              <w:rPr>
                <w:b/>
              </w:rPr>
              <w:t>239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700" w:type="dxa"/>
            <w:tcBorders/>
            <w:vAlign w:val="bottom"/>
          </w:tcPr>
          <w:p>
            <w:pPr>
              <w:pStyle w:val="TableContents"/>
              <w:bidi w:val="0"/>
              <w:spacing w:before="0" w:after="283"/>
              <w:jc w:val="right"/>
              <w:rPr>
                <w:b/>
              </w:rPr>
            </w:pPr>
            <w:r>
              <w:rPr>
                <w:b/>
              </w:rPr>
              <w:t>(843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b/>
              </w:rPr>
            </w:pPr>
            <w:r>
              <w:rPr>
                <w:b/>
              </w:rPr>
              <w:t>$</w:t>
            </w:r>
          </w:p>
        </w:tc>
        <w:tc>
          <w:tcPr>
            <w:tcW w:w="1132" w:type="dxa"/>
            <w:tcBorders/>
            <w:vAlign w:val="bottom"/>
          </w:tcPr>
          <w:p>
            <w:pPr>
              <w:pStyle w:val="TableContents"/>
              <w:bidi w:val="0"/>
              <w:spacing w:before="0" w:after="283"/>
              <w:jc w:val="right"/>
              <w:rPr>
                <w:b/>
              </w:rPr>
            </w:pPr>
            <w:r>
              <w:rPr>
                <w:b/>
              </w:rPr>
              <w:t>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b/>
              </w:rPr>
            </w:pPr>
            <w:r>
              <w:rPr>
                <w:b/>
              </w:rPr>
              <w:t>$</w:t>
            </w:r>
          </w:p>
        </w:tc>
        <w:tc>
          <w:tcPr>
            <w:tcW w:w="1132" w:type="dxa"/>
            <w:tcBorders/>
            <w:vAlign w:val="bottom"/>
          </w:tcPr>
          <w:p>
            <w:pPr>
              <w:pStyle w:val="TableContents"/>
              <w:bidi w:val="0"/>
              <w:spacing w:before="0" w:after="283"/>
              <w:jc w:val="right"/>
              <w:rPr>
                <w:b/>
              </w:rPr>
            </w:pPr>
            <w:r>
              <w:rPr>
                <w:b/>
              </w:rPr>
              <w:t>(819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700" w:type="dxa"/>
            <w:tcBorders/>
            <w:vAlign w:val="bottom"/>
          </w:tcPr>
          <w:p>
            <w:pPr>
              <w:pStyle w:val="TableContents"/>
              <w:bidi w:val="0"/>
              <w:spacing w:before="0" w:after="283"/>
              <w:jc w:val="right"/>
              <w:rPr>
                <w:b/>
              </w:rPr>
            </w:pPr>
            <w:r>
              <w:rPr>
                <w:b/>
              </w:rPr>
              <w:t>(672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b/>
              </w:rPr>
            </w:pPr>
            <w:r>
              <w:rPr>
                <w:b/>
              </w:rPr>
              <w:t>$</w:t>
            </w:r>
          </w:p>
        </w:tc>
        <w:tc>
          <w:tcPr>
            <w:tcW w:w="717" w:type="dxa"/>
            <w:tcBorders/>
            <w:vAlign w:val="bottom"/>
          </w:tcPr>
          <w:p>
            <w:pPr>
              <w:pStyle w:val="TableContents"/>
              <w:bidi w:val="0"/>
              <w:spacing w:before="0" w:after="283"/>
              <w:jc w:val="right"/>
              <w:rPr>
                <w:b/>
              </w:rPr>
            </w:pPr>
            <w:r>
              <w:rPr>
                <w:b/>
              </w:rPr>
              <w:t>(2,143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1,064</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 per share:</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(5.77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common shares outstanding:</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Combined Balance Sheets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296"/>
        <w:gridCol w:w="259"/>
        <w:gridCol w:w="242"/>
        <w:gridCol w:w="1191"/>
        <w:gridCol w:w="60"/>
        <w:gridCol w:w="259"/>
        <w:gridCol w:w="242"/>
        <w:gridCol w:w="1191"/>
        <w:gridCol w:w="60"/>
        <w:gridCol w:w="259"/>
        <w:gridCol w:w="149"/>
        <w:gridCol w:w="731"/>
        <w:gridCol w:w="60"/>
        <w:gridCol w:w="259"/>
        <w:gridCol w:w="149"/>
        <w:gridCol w:w="731"/>
        <w:gridCol w:w="67"/>
      </w:tblGrid>
      <w:tr>
        <w:trPr/>
        <w:tc>
          <w:tcPr>
            <w:tcW w:w="4296"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9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As of</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831" w:type="dxa"/>
            <w:gridSpan w:val="10"/>
            <w:tcBorders>
              <w:bottom w:val="single" w:sz="8" w:space="0" w:color="000000"/>
            </w:tcBorders>
            <w:tcMar>
              <w:bottom w:w="28" w:type="dxa"/>
            </w:tcMar>
            <w:vAlign w:val="bottom"/>
          </w:tcPr>
          <w:p>
            <w:pPr>
              <w:pStyle w:val="TableContents"/>
              <w:bidi w:val="0"/>
              <w:spacing w:before="0" w:after="283"/>
              <w:jc w:val="center"/>
              <w:rPr/>
            </w:pPr>
            <w:r>
              <w:rPr>
                <w:b/>
              </w:rPr>
              <w:t>Historical</w:t>
            </w:r>
            <w:r>
              <w:rPr/>
              <w:br/>
            </w:r>
            <w:r>
              <w:rPr>
                <w:b/>
              </w:rPr>
              <w:t>As of</w:t>
            </w:r>
          </w:p>
        </w:tc>
        <w:tc>
          <w:tcPr>
            <w:tcW w:w="67" w:type="dxa"/>
            <w:tcBorders/>
            <w:vAlign w:val="bottom"/>
          </w:tcPr>
          <w:p>
            <w:pPr>
              <w:pStyle w:val="TableContents"/>
              <w:bidi w:val="0"/>
              <w:spacing w:before="0" w:after="283"/>
              <w:jc w:val="left"/>
              <w:rPr/>
            </w:pPr>
            <w:r>
              <w:rPr/>
              <w:t> </w:t>
            </w:r>
          </w:p>
        </w:tc>
      </w:tr>
      <w:tr>
        <w:trPr/>
        <w:tc>
          <w:tcPr>
            <w:tcW w:w="4296" w:type="dxa"/>
            <w:tcBorders/>
            <w:vAlign w:val="bottom"/>
          </w:tcPr>
          <w:p>
            <w:pPr>
              <w:pStyle w:val="TableContents"/>
              <w:bidi w:val="0"/>
              <w:spacing w:before="0" w:after="283"/>
              <w:jc w:val="left"/>
              <w:rPr>
                <w:b/>
              </w:rPr>
            </w:pPr>
            <w:r>
              <w:rPr>
                <w:b/>
              </w:rPr>
              <w:t>(In millions)</w:t>
            </w:r>
          </w:p>
        </w:tc>
        <w:tc>
          <w:tcPr>
            <w:tcW w:w="259"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67" w:type="dxa"/>
            <w:tcBorders/>
            <w:vAlign w:val="bottom"/>
          </w:tcPr>
          <w:p>
            <w:pPr>
              <w:pStyle w:val="TableContents"/>
              <w:bidi w:val="0"/>
              <w:spacing w:before="0" w:after="283"/>
              <w:jc w:val="left"/>
              <w:rPr/>
            </w:pPr>
            <w:r>
              <w:rPr/>
              <w:t> </w:t>
            </w:r>
          </w:p>
        </w:tc>
      </w:tr>
      <w:tr>
        <w:trPr/>
        <w:tc>
          <w:tcPr>
            <w:tcW w:w="4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29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1,339</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804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1" w:type="dxa"/>
            <w:tcBorders/>
            <w:vAlign w:val="bottom"/>
          </w:tcPr>
          <w:p>
            <w:pPr>
              <w:pStyle w:val="TableContents"/>
              <w:bidi w:val="0"/>
              <w:spacing w:before="0" w:after="283"/>
              <w:jc w:val="right"/>
              <w:rPr/>
            </w:pPr>
            <w:r>
              <w:rPr/>
              <w:t>328</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1" w:type="dxa"/>
            <w:tcBorders/>
            <w:vAlign w:val="bottom"/>
          </w:tcPr>
          <w:p>
            <w:pPr>
              <w:pStyle w:val="TableContents"/>
              <w:bidi w:val="0"/>
              <w:spacing w:before="0" w:after="283"/>
              <w:jc w:val="right"/>
              <w:rPr/>
            </w:pPr>
            <w:r>
              <w:rPr/>
              <w:t>292</w:t>
            </w:r>
          </w:p>
        </w:tc>
        <w:tc>
          <w:tcPr>
            <w:tcW w:w="67" w:type="dxa"/>
            <w:tcBorders/>
            <w:vAlign w:val="bottom"/>
          </w:tcPr>
          <w:p>
            <w:pPr>
              <w:pStyle w:val="TableContents"/>
              <w:bidi w:val="0"/>
              <w:spacing w:before="0" w:after="283"/>
              <w:jc w:val="left"/>
              <w:rPr/>
            </w:pPr>
            <w:r>
              <w:rPr/>
              <w:t> </w:t>
            </w:r>
          </w:p>
        </w:tc>
      </w:tr>
      <w:tr>
        <w:trPr/>
        <w:tc>
          <w:tcPr>
            <w:tcW w:w="4296"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191" w:type="dxa"/>
            <w:tcBorders/>
            <w:shd w:fill="CCEEFF" w:val="clear"/>
            <w:vAlign w:val="bottom"/>
          </w:tcPr>
          <w:p>
            <w:pPr>
              <w:pStyle w:val="TableContents"/>
              <w:bidi w:val="0"/>
              <w:spacing w:before="0" w:after="283"/>
              <w:jc w:val="right"/>
              <w:rPr>
                <w:b/>
              </w:rPr>
            </w:pPr>
            <w:r>
              <w:rPr>
                <w:b/>
              </w:rPr>
              <w:t>15,066</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b/>
              </w:rPr>
            </w:pPr>
            <w:r>
              <w:rPr>
                <w:b/>
              </w:rPr>
              <w:t>$</w:t>
            </w:r>
          </w:p>
        </w:tc>
        <w:tc>
          <w:tcPr>
            <w:tcW w:w="1191" w:type="dxa"/>
            <w:tcBorders/>
            <w:shd w:fill="CCEEFF" w:val="clear"/>
            <w:vAlign w:val="bottom"/>
          </w:tcPr>
          <w:p>
            <w:pPr>
              <w:pStyle w:val="TableContents"/>
              <w:bidi w:val="0"/>
              <w:spacing w:before="0" w:after="283"/>
              <w:jc w:val="right"/>
              <w:rPr>
                <w:b/>
              </w:rPr>
            </w:pPr>
            <w:r>
              <w:rPr>
                <w:b/>
              </w:rPr>
              <w:t>14,234</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b/>
              </w:rPr>
            </w:pPr>
            <w:r>
              <w:rPr>
                <w:b/>
              </w:rPr>
              <w:t>$</w:t>
            </w:r>
          </w:p>
        </w:tc>
        <w:tc>
          <w:tcPr>
            <w:tcW w:w="731" w:type="dxa"/>
            <w:tcBorders/>
            <w:shd w:fill="CCEEFF" w:val="clear"/>
            <w:vAlign w:val="bottom"/>
          </w:tcPr>
          <w:p>
            <w:pPr>
              <w:pStyle w:val="TableContents"/>
              <w:bidi w:val="0"/>
              <w:spacing w:before="0" w:after="283"/>
              <w:jc w:val="right"/>
              <w:rPr>
                <w:b/>
              </w:rPr>
            </w:pPr>
            <w:r>
              <w:rPr>
                <w:b/>
              </w:rPr>
              <w:t>13,506</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b/>
              </w:rPr>
            </w:pPr>
            <w:r>
              <w:rPr>
                <w:b/>
              </w:rPr>
              <w:t>$</w:t>
            </w:r>
          </w:p>
        </w:tc>
        <w:tc>
          <w:tcPr>
            <w:tcW w:w="731" w:type="dxa"/>
            <w:tcBorders/>
            <w:shd w:fill="CCEEFF" w:val="clear"/>
            <w:vAlign w:val="bottom"/>
          </w:tcPr>
          <w:p>
            <w:pPr>
              <w:pStyle w:val="TableContents"/>
              <w:bidi w:val="0"/>
              <w:spacing w:before="0" w:after="283"/>
              <w:jc w:val="right"/>
              <w:rPr>
                <w:b/>
              </w:rPr>
            </w:pPr>
            <w:r>
              <w:rPr>
                <w:b/>
              </w:rPr>
              <w:t>13,820</w:t>
            </w:r>
          </w:p>
        </w:tc>
        <w:tc>
          <w:tcPr>
            <w:tcW w:w="67" w:type="dxa"/>
            <w:tcBorders/>
            <w:shd w:fill="CCEEFF" w:val="clear"/>
            <w:vAlign w:val="bottom"/>
          </w:tcPr>
          <w:p>
            <w:pPr>
              <w:pStyle w:val="TableContents"/>
              <w:bidi w:val="0"/>
              <w:spacing w:before="0" w:after="283"/>
              <w:jc w:val="left"/>
              <w:rPr/>
            </w:pPr>
            <w:r>
              <w:rPr/>
              <w:t> </w:t>
            </w:r>
          </w:p>
        </w:tc>
      </w:tr>
      <w:tr>
        <w:trPr/>
        <w:tc>
          <w:tcPr>
            <w:tcW w:w="4296"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3,865</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2,233</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2,424</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2,381</w:t>
            </w:r>
          </w:p>
        </w:tc>
        <w:tc>
          <w:tcPr>
            <w:tcW w:w="67" w:type="dxa"/>
            <w:tcBorders/>
            <w:shd w:fill="CCEEFF" w:val="clear"/>
            <w:vAlign w:val="bottom"/>
          </w:tcPr>
          <w:p>
            <w:pPr>
              <w:pStyle w:val="TableContents"/>
              <w:bidi w:val="0"/>
              <w:spacing w:before="0" w:after="283"/>
              <w:jc w:val="left"/>
              <w:rPr/>
            </w:pPr>
            <w:r>
              <w:rPr/>
              <w:t> </w:t>
            </w:r>
          </w:p>
        </w:tc>
      </w:tr>
      <w:tr>
        <w:trPr/>
        <w:tc>
          <w:tcPr>
            <w:tcW w:w="4296" w:type="dxa"/>
            <w:tcBorders/>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12,435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11,534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11,782</w:t>
            </w:r>
          </w:p>
        </w:tc>
        <w:tc>
          <w:tcPr>
            <w:tcW w:w="67" w:type="dxa"/>
            <w:tcBorders/>
            <w:vAlign w:val="bottom"/>
          </w:tcPr>
          <w:p>
            <w:pPr>
              <w:pStyle w:val="TableContents"/>
              <w:bidi w:val="0"/>
              <w:spacing w:before="0" w:after="283"/>
              <w:jc w:val="left"/>
              <w:rPr/>
            </w:pPr>
            <w:r>
              <w:rPr/>
              <w:t> </w:t>
            </w:r>
          </w:p>
        </w:tc>
      </w:tr>
      <w:tr>
        <w:trPr/>
        <w:tc>
          <w:tcPr>
            <w:tcW w:w="4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11,640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296"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b/>
              </w:rPr>
            </w:pPr>
            <w:r>
              <w:rPr>
                <w:b/>
              </w:rPr>
              <w:t>$</w:t>
            </w:r>
          </w:p>
        </w:tc>
        <w:tc>
          <w:tcPr>
            <w:tcW w:w="1191" w:type="dxa"/>
            <w:tcBorders/>
            <w:vAlign w:val="bottom"/>
          </w:tcPr>
          <w:p>
            <w:pPr>
              <w:pStyle w:val="TableContents"/>
              <w:bidi w:val="0"/>
              <w:spacing w:before="0" w:after="283"/>
              <w:jc w:val="right"/>
              <w:rPr>
                <w:b/>
              </w:rPr>
            </w:pPr>
            <w:r>
              <w:rPr>
                <w:b/>
              </w:rPr>
              <w:t>15,066</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b/>
              </w:rPr>
            </w:pPr>
            <w:r>
              <w:rPr>
                <w:b/>
              </w:rPr>
              <w:t>$</w:t>
            </w:r>
          </w:p>
        </w:tc>
        <w:tc>
          <w:tcPr>
            <w:tcW w:w="1191" w:type="dxa"/>
            <w:tcBorders/>
            <w:vAlign w:val="bottom"/>
          </w:tcPr>
          <w:p>
            <w:pPr>
              <w:pStyle w:val="TableContents"/>
              <w:bidi w:val="0"/>
              <w:spacing w:before="0" w:after="283"/>
              <w:jc w:val="right"/>
              <w:rPr>
                <w:b/>
              </w:rPr>
            </w:pPr>
            <w:r>
              <w:rPr>
                <w:b/>
              </w:rPr>
              <w:t>14,234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b/>
              </w:rPr>
            </w:pPr>
            <w:r>
              <w:rPr>
                <w:b/>
              </w:rPr>
              <w:t>$</w:t>
            </w:r>
          </w:p>
        </w:tc>
        <w:tc>
          <w:tcPr>
            <w:tcW w:w="731" w:type="dxa"/>
            <w:tcBorders/>
            <w:vAlign w:val="bottom"/>
          </w:tcPr>
          <w:p>
            <w:pPr>
              <w:pStyle w:val="TableContents"/>
              <w:bidi w:val="0"/>
              <w:spacing w:before="0" w:after="283"/>
              <w:jc w:val="right"/>
              <w:rPr>
                <w:b/>
              </w:rPr>
            </w:pPr>
            <w:r>
              <w:rPr>
                <w:b/>
              </w:rPr>
              <w:t>13,506</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b/>
              </w:rPr>
            </w:pPr>
            <w:r>
              <w:rPr>
                <w:b/>
              </w:rPr>
              <w:t>$</w:t>
            </w:r>
          </w:p>
        </w:tc>
        <w:tc>
          <w:tcPr>
            <w:tcW w:w="731" w:type="dxa"/>
            <w:tcBorders/>
            <w:vAlign w:val="bottom"/>
          </w:tcPr>
          <w:p>
            <w:pPr>
              <w:pStyle w:val="TableContents"/>
              <w:bidi w:val="0"/>
              <w:spacing w:before="0" w:after="283"/>
              <w:jc w:val="right"/>
              <w:rPr>
                <w:b/>
              </w:rPr>
            </w:pPr>
            <w:r>
              <w:rPr>
                <w:b/>
              </w:rPr>
              <w:t>13,820</w:t>
            </w:r>
          </w:p>
        </w:tc>
        <w:tc>
          <w:tcPr>
            <w:tcW w:w="67" w:type="dxa"/>
            <w:tcBorders/>
            <w:vAlign w:val="bottom"/>
          </w:tcPr>
          <w:p>
            <w:pPr>
              <w:pStyle w:val="TableContents"/>
              <w:bidi w:val="0"/>
              <w:spacing w:before="0" w:after="283"/>
              <w:jc w:val="left"/>
              <w:rPr/>
            </w:pPr>
            <w:r>
              <w:rPr/>
              <w:t> </w:t>
            </w:r>
          </w:p>
        </w:tc>
      </w:tr>
      <w:tr>
        <w:trPr/>
        <w:tc>
          <w:tcPr>
            <w:tcW w:w="4296"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Revenue by End Market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093"/>
        <w:gridCol w:w="274"/>
        <w:gridCol w:w="284"/>
        <w:gridCol w:w="1180"/>
        <w:gridCol w:w="60"/>
        <w:gridCol w:w="274"/>
        <w:gridCol w:w="284"/>
        <w:gridCol w:w="1180"/>
        <w:gridCol w:w="60"/>
        <w:gridCol w:w="274"/>
        <w:gridCol w:w="174"/>
        <w:gridCol w:w="726"/>
        <w:gridCol w:w="60"/>
        <w:gridCol w:w="274"/>
        <w:gridCol w:w="175"/>
        <w:gridCol w:w="726"/>
        <w:gridCol w:w="60"/>
        <w:gridCol w:w="274"/>
        <w:gridCol w:w="140"/>
        <w:gridCol w:w="563"/>
        <w:gridCol w:w="70"/>
      </w:tblGrid>
      <w:tr>
        <w:trPr/>
        <w:tc>
          <w:tcPr>
            <w:tcW w:w="3093"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09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76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70" w:type="dxa"/>
            <w:tcBorders/>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2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17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70" w:type="dxa"/>
            <w:tcBorders/>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b/>
              </w:rPr>
            </w:pPr>
            <w:r>
              <w:rPr>
                <w:b/>
              </w:rPr>
              <w:t>(In millions)</w:t>
            </w:r>
          </w:p>
        </w:tc>
        <w:tc>
          <w:tcPr>
            <w:tcW w:w="274"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29,</w:t>
            </w:r>
            <w:r>
              <w:rPr/>
              <w:br/>
            </w:r>
            <w:r>
              <w:rPr>
                <w:b/>
              </w:rPr>
              <w:t>2023</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b/>
              </w:rPr>
              <w:t>July 1,</w:t>
            </w:r>
            <w:r>
              <w:rPr/>
              <w:br/>
            </w:r>
            <w:r>
              <w:rPr>
                <w:b/>
              </w:rPr>
              <w:t>2022</w:t>
            </w:r>
          </w:p>
        </w:tc>
        <w:tc>
          <w:tcPr>
            <w:tcW w:w="70"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by end market</w:t>
            </w:r>
          </w:p>
        </w:tc>
        <w:tc>
          <w:tcPr>
            <w:tcW w:w="27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Cloud</w:t>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550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1,264</w:t>
            </w:r>
          </w:p>
        </w:tc>
        <w:tc>
          <w:tcPr>
            <w:tcW w:w="70" w:type="dxa"/>
            <w:tcBorders/>
            <w:vAlign w:val="bottom"/>
          </w:tcPr>
          <w:p>
            <w:pPr>
              <w:pStyle w:val="TableContents"/>
              <w:bidi w:val="0"/>
              <w:spacing w:before="0" w:after="283"/>
              <w:jc w:val="left"/>
              <w:rPr/>
            </w:pPr>
            <w:r>
              <w:rPr/>
              <w:t> </w:t>
            </w:r>
          </w:p>
        </w:tc>
      </w:tr>
      <w:tr>
        <w:trPr/>
        <w:tc>
          <w:tcPr>
            <w:tcW w:w="3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Client</w:t>
            </w:r>
          </w:p>
        </w:tc>
        <w:tc>
          <w:tcPr>
            <w:tcW w:w="27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2,097</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1,967</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4,069</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3,637</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6,038</w:t>
            </w:r>
          </w:p>
        </w:tc>
        <w:tc>
          <w:tcPr>
            <w:tcW w:w="70" w:type="dxa"/>
            <w:tcBorders/>
            <w:shd w:fill="CCEEFF" w:val="clear"/>
            <w:vAlign w:val="bottom"/>
          </w:tcPr>
          <w:p>
            <w:pPr>
              <w:pStyle w:val="TableContents"/>
              <w:bidi w:val="0"/>
              <w:spacing w:before="0" w:after="283"/>
              <w:jc w:val="left"/>
              <w:rPr/>
            </w:pPr>
            <w:r>
              <w:rPr/>
              <w:t> </w:t>
            </w:r>
          </w:p>
        </w:tc>
      </w:tr>
      <w:tr>
        <w:trPr/>
        <w:tc>
          <w:tcPr>
            <w:tcW w:w="3093" w:type="dxa"/>
            <w:tcBorders/>
          </w:tcPr>
          <w:p>
            <w:pPr>
              <w:pStyle w:val="TableContents"/>
              <w:bidi w:val="0"/>
              <w:spacing w:before="0" w:after="0"/>
              <w:jc w:val="left"/>
              <w:rPr>
                <w:rFonts w:ascii="Times New Roman" w:hAnsi="Times New Roman"/>
                <w:sz w:val="20"/>
              </w:rPr>
            </w:pPr>
            <w:r>
              <w:rPr>
                <w:rFonts w:ascii="Times New Roman" w:hAnsi="Times New Roman"/>
                <w:sz w:val="20"/>
              </w:rPr>
              <w:t>Consumer</w:t>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1,173</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2,269</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1,949</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2,452</w:t>
            </w:r>
          </w:p>
        </w:tc>
        <w:tc>
          <w:tcPr>
            <w:tcW w:w="70" w:type="dxa"/>
            <w:tcBorders/>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0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7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b/>
              </w:rPr>
            </w:pPr>
            <w:r>
              <w:rPr>
                <w:b/>
              </w:rPr>
              <w:t>$</w:t>
            </w:r>
          </w:p>
        </w:tc>
        <w:tc>
          <w:tcPr>
            <w:tcW w:w="1180" w:type="dxa"/>
            <w:tcBorders/>
            <w:shd w:fill="CCEEFF" w:val="clear"/>
            <w:vAlign w:val="bottom"/>
          </w:tcPr>
          <w:p>
            <w:pPr>
              <w:pStyle w:val="TableContents"/>
              <w:bidi w:val="0"/>
              <w:spacing w:before="0" w:after="283"/>
              <w:jc w:val="right"/>
              <w:rPr>
                <w:b/>
              </w:rPr>
            </w:pPr>
            <w:r>
              <w:rPr>
                <w:b/>
              </w:rPr>
              <w:t>3,759</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b/>
              </w:rPr>
            </w:pPr>
            <w:r>
              <w:rPr>
                <w:b/>
              </w:rPr>
              <w:t>$</w:t>
            </w:r>
          </w:p>
        </w:tc>
        <w:tc>
          <w:tcPr>
            <w:tcW w:w="1180" w:type="dxa"/>
            <w:tcBorders/>
            <w:shd w:fill="CCEEFF" w:val="clear"/>
            <w:vAlign w:val="bottom"/>
          </w:tcPr>
          <w:p>
            <w:pPr>
              <w:pStyle w:val="TableContents"/>
              <w:bidi w:val="0"/>
              <w:spacing w:before="0" w:after="283"/>
              <w:jc w:val="right"/>
              <w:rPr>
                <w:b/>
              </w:rPr>
            </w:pPr>
            <w:r>
              <w:rPr>
                <w:b/>
              </w:rPr>
              <w:t>3,198</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b/>
              </w:rPr>
            </w:pPr>
            <w:r>
              <w:rPr>
                <w:b/>
              </w:rPr>
              <w:t>$</w:t>
            </w:r>
          </w:p>
        </w:tc>
        <w:tc>
          <w:tcPr>
            <w:tcW w:w="726" w:type="dxa"/>
            <w:tcBorders/>
            <w:shd w:fill="CCEEFF" w:val="clear"/>
            <w:vAlign w:val="bottom"/>
          </w:tcPr>
          <w:p>
            <w:pPr>
              <w:pStyle w:val="TableContents"/>
              <w:bidi w:val="0"/>
              <w:spacing w:before="0" w:after="283"/>
              <w:jc w:val="right"/>
              <w:rPr>
                <w:b/>
              </w:rPr>
            </w:pPr>
            <w:r>
              <w:rPr>
                <w:b/>
              </w:rPr>
              <w:t>6,663</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726" w:type="dxa"/>
            <w:tcBorders/>
            <w:shd w:fill="CCEEFF" w:val="clear"/>
            <w:vAlign w:val="bottom"/>
          </w:tcPr>
          <w:p>
            <w:pPr>
              <w:pStyle w:val="TableContents"/>
              <w:bidi w:val="0"/>
              <w:spacing w:before="0" w:after="283"/>
              <w:jc w:val="right"/>
              <w:rPr>
                <w:b/>
              </w:rPr>
            </w:pPr>
            <w:r>
              <w:rPr>
                <w:b/>
              </w:rPr>
              <w:t>6,086</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9,754</w:t>
            </w:r>
          </w:p>
        </w:tc>
        <w:tc>
          <w:tcPr>
            <w:tcW w:w="70" w:type="dxa"/>
            <w:tcBorders/>
            <w:shd w:fill="CCEEFF" w:val="clear"/>
            <w:vAlign w:val="bottom"/>
          </w:tcPr>
          <w:p>
            <w:pPr>
              <w:pStyle w:val="TableContents"/>
              <w:bidi w:val="0"/>
              <w:spacing w:before="0" w:after="283"/>
              <w:jc w:val="left"/>
              <w:rPr/>
            </w:pPr>
            <w:r>
              <w:rPr/>
              <w:t> </w:t>
            </w:r>
          </w:p>
        </w:tc>
      </w:tr>
      <w:tr>
        <w:trPr/>
        <w:tc>
          <w:tcPr>
            <w:tcW w:w="3093"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934557_2"/>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 </w:t>
            </w:r>
          </w:p>
        </w:tc>
        <w:tc>
          <w:tcPr>
            <w:tcW w:w="6328" w:type="dxa"/>
            <w:tcBorders/>
          </w:tcPr>
          <w:p>
            <w:pPr>
              <w:pStyle w:val="TableContents"/>
              <w:bidi w:val="0"/>
              <w:spacing w:before="0" w:after="283"/>
              <w:jc w:val="left"/>
              <w:rPr/>
            </w:pPr>
            <w:r>
              <w:rPr/>
              <w:t xml:space="preserve">Up to 28,827,787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All shares of our common stock sold pursuant to this prospectus will be offered and sold by the selling stockholder. We will not receive any proceeds from such sale.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Principal Stockholder </w:t>
            </w:r>
          </w:p>
        </w:tc>
        <w:tc>
          <w:tcPr>
            <w:tcW w:w="6328" w:type="dxa"/>
            <w:tcBorders/>
          </w:tcPr>
          <w:p>
            <w:pPr>
              <w:pStyle w:val="TableContents"/>
              <w:bidi w:val="0"/>
              <w:spacing w:before="0" w:after="283"/>
              <w:jc w:val="left"/>
              <w:rPr/>
            </w:pPr>
            <w:r>
              <w:rPr/>
              <w:t xml:space="preserve">WDC, the selling stockholder, beneficially owns approximately 19.9% of the outstanding shares of our common stock. For further information regarding our relationship with WDC, see Sandisks Post-Separation Relationship with WDC and Certain Relationships and Related Party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Plan of Distribution </w:t>
            </w:r>
          </w:p>
        </w:tc>
        <w:tc>
          <w:tcPr>
            <w:tcW w:w="6330" w:type="dxa"/>
            <w:tcBorders/>
          </w:tcPr>
          <w:p>
            <w:pPr>
              <w:pStyle w:val="TableContents"/>
              <w:bidi w:val="0"/>
              <w:spacing w:before="0" w:after="283"/>
              <w:jc w:val="left"/>
              <w:rPr/>
            </w:pPr>
            <w:r>
              <w:rPr/>
              <w:t xml:space="preserve">The selling stockholder may offer the shares in amounts, at prices and on terms determined by market conditions at the time of the offering. The selling stockholder may sell shares through agents it selects or through underwriters and dealers it selects. The selling stockholder also may sell shares directly to investors. If the selling stockholder uses agents, underwriters or dealers to sell the shares, we will name them and describe their compensation in a prospectus supplement.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For a discussion of risks and uncertainties involved with an investment in our common stock, see Risk Factors on page 13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7" w:type="dxa"/>
            <w:tcBorders/>
          </w:tcPr>
          <w:p>
            <w:pPr>
              <w:pStyle w:val="TableContents"/>
              <w:bidi w:val="0"/>
              <w:spacing w:before="0" w:after="283"/>
              <w:jc w:val="left"/>
              <w:rPr/>
            </w:pPr>
            <w:r>
              <w:rPr/>
              <w:t xml:space="preserve">Our common stock is listed on the Nasdaq under the symbol SNDK.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we indicate otherwise, all information in this prospectus is based on 145,299,218 shares of our common stock outstanding as of April 30, 2025 and excludes 27,681,394 shares of our common stock reserved for issuance pursuant to our equity-based compensation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934557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risks and uncertainties described below could materially and adversely impact our business, financial condition, results of operations, could cause actual results to differ materially from our expectations and projections, and could cause the market value of our stock to decline. You should consider these risk factors when evaluating us and our common stock and when reading the rest of this prospectus, including the sections entitled Business and Managements Discussion and Analysis of Financial Condition and Results of Operations and our financial statements and related notes included elsewhere in this document. These risk factors may not include all of the important factors that could affect our business or our industry or that could cause our future financial results to differ materially from historic or expected results or cause the market price of our common stock to fluctuate or decline. Additional risks and uncertainties not currently known to us or that we currently believe are immaterial also may impair our business, including our results of operations, liquidity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OPERATIONAL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Adverse global or regional conditions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A large portion of our revenue is derived from our international operations, and substantially all of our products are produced overseas. As a result, our business depends significantly on global and regional conditions. Adverse changes in global or regional economic conditions, including, but not limited to, volatility in the financial markets, tighter credit, recession, inflation, rising interest rates, slower growth in certain geographic regions, political uncertainty, geopolitical tensions or conflicts, trade war, other macroeconomic factors, changes to social conditions and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 </w:t>
      </w:r>
    </w:p>
    <w:p>
      <w:pPr>
        <w:pStyle w:val="TextBody"/>
        <w:bidi w:val="0"/>
        <w:spacing w:before="240" w:after="0"/>
        <w:jc w:val="left"/>
        <w:rPr>
          <w:rFonts w:ascii="Times New Roman" w:hAnsi="Times New Roman"/>
          <w:sz w:val="20"/>
        </w:rPr>
      </w:pPr>
      <w:r>
        <w:rPr>
          <w:rFonts w:ascii="Times New Roman" w:hAnsi="Times New Roman"/>
          <w:sz w:val="20"/>
        </w:rPr>
        <w:t xml:space="preserve">Our revenue growth is significantly dependent on the growth of international markets, and we may face challenges in international sales markets. We are subject to risks associated with our global manufacturing operations and global sales efforts, as well as risks associated with our utilization of contract manufacturers,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governmental approvals and compliance with evolving foreign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comply with regulations on international business, including the Foreign Corrupt Practices Act, the United Kingdom Bribery Act 2010, the anti-bribery laws of other countries and rules regarding conflict minerals;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currency and tax controls and reallocations;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weaker protection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policies and financial incentives by governments in China, the United States and countries in Europe and Asia designed to reduce dependence on foreign semiconductor manufacturing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restrictions, such as export controls, export bans, import restrictions, embargoes, sanctions, license and certification requirements (including semiconductor, encryption and other technology), tariffs and complex customs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international operations, including appropriate internal controls.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example, the United States has recently announced changes to U.S. trade policy, including increasing tariffs on imports, in some cases significantly. These tariffs have the potential to raise the cost of our products sold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U.S. or adversely affect demand for our products in the U.S. Additionally, we cannot predict responsive or future trade policy and regulations in the U.S. and other countries, the terms of any trade arrangements that may be negotiated between the U.S. and other countries, the scope, amount, or duration of tariffs that may be imposed by any country, or the impact of these factors on our business. Each of these factors could increase the costs of our products and the materials and components used in our products, increase the prices of our products, and adversely affect demand for our products. Uncertainty surrounding international trade policy and regulations could also have an adverse effect on consumer confidence and spending.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risks, our business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dependent on a limited number of qualified suppliers who provide critical services, materials or components, and a disruption in our supply chain or other inability to source our supply requirements, or an increase in the costs of materials or components,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depend on an external supply base for technologies, software (including firmware),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 </w:t>
      </w:r>
    </w:p>
    <w:p>
      <w:pPr>
        <w:pStyle w:val="TextBody"/>
        <w:bidi w:val="0"/>
        <w:spacing w:before="240" w:after="0"/>
        <w:jc w:val="left"/>
        <w:rPr>
          <w:rFonts w:ascii="Times New Roman" w:hAnsi="Times New Roman"/>
          <w:sz w:val="20"/>
        </w:rPr>
      </w:pPr>
      <w:r>
        <w:rPr>
          <w:rFonts w:ascii="Times New Roman" w:hAnsi="Times New Roman"/>
          <w:sz w:val="20"/>
        </w:rPr>
        <w:t xml:space="preserve">Our suppliers have in the past been, and may in the future be, unable or unwilling to meet our requirements, including as a result of events outside of their control such as trade restrictions (including tariffs, quotas and embargoes), geopolitical conflicts, public health emergencies or natural disasters.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business. Delays, shortages or cost increases experienced by our suppliers in developing or sourcing materials and components for use in our products or incompatibility or quality issues relating to our products, could also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long-term contracts with some of our existing suppliers, nor do we always have guaranteed manufacturing capacity with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 We may cancel or defer outstanding purchase commitments with certain suppliers due to changes in actual and forecasted demand, which may result in fees, penalties and other associated charges. Such cancellations or deferments may also negatively impact our relationships with certain suppliers or lead to a decline in the financial performance of certain suppliers, each of which could result in even more limited availability of components needed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supply base has experienced industry consolidation. Our suppliers may be acquired by our competitors, decide to exit the industry or redirect their investments and increase costs to us. In addition, some of our suppliers have experienced a decline in financial performance, including as a result of canceled or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commitments. Where we rely on a limited number of suppliers or a single supplier, the risk of supplier loss due to industry consolidation or a decline in financial performance is increased. Some of our suppliers may also be competitors in other areas of our or their business, which could lead to difficulties in price negotiations or meeting our supply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operations, and those of certain of our suppliers and customers, are subject to substantial risk of damage or disruption. </w:t>
      </w:r>
    </w:p>
    <w:p>
      <w:pPr>
        <w:pStyle w:val="TextBody"/>
        <w:bidi w:val="0"/>
        <w:spacing w:before="120" w:after="0"/>
        <w:jc w:val="left"/>
        <w:rPr>
          <w:rFonts w:ascii="Times New Roman" w:hAnsi="Times New Roman"/>
          <w:sz w:val="20"/>
        </w:rPr>
      </w:pPr>
      <w:r>
        <w:rPr>
          <w:rFonts w:ascii="Times New Roman" w:hAnsi="Times New Roman"/>
          <w:sz w:val="20"/>
        </w:rPr>
        <w:t xml:space="preserve">We conduct our operations at large, high-volume, purpose-built facilities in Japan, Malaysia and throughout Asia. The facilities of many of our customers, our suppliers and our customers suppliers are also concentrated in certain geographic locations throughout Asia and elsewhere. If a fire (including a climate change-related fire), flood, earthquake, tsunami or other natural disaster, condition or event such as a power outage, contamination event, terrorist attack, cybersecurity incident, physical security breach, political instability, civil unrest, localized labor unrest or other employment issues, or a health epidemic negatively affects any of these facilities, it would significantly affect our ability to manufacture or sell our products and source components and would harm our business. Possible impacts include work and equipment stoppages and damage to or closure of our facilities, or those of our suppliers or customers, for an indefinite period of time. Climate change has in the past and is expected to continue to increase the incidence and severity of certain natural disasters, including wildfires and adverse weather events. In addition, the geographic concentration of our manufacturing sites could exacerbate the negative impacts resulting from any of these problems. </w:t>
      </w:r>
    </w:p>
    <w:p>
      <w:pPr>
        <w:pStyle w:val="TextBody"/>
        <w:bidi w:val="0"/>
        <w:spacing w:before="240" w:after="0"/>
        <w:jc w:val="left"/>
        <w:rPr>
          <w:rFonts w:ascii="Times New Roman" w:hAnsi="Times New Roman"/>
          <w:sz w:val="20"/>
        </w:rPr>
      </w:pPr>
      <w:r>
        <w:rPr>
          <w:rFonts w:ascii="Times New Roman" w:hAnsi="Times New Roman"/>
          <w:sz w:val="20"/>
        </w:rPr>
        <w:t xml:space="preserve">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or increase the cost of certain types of insurance by contributing to an increase in the incidence and severity of certain natural disasters.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health crises have had, and could in the future have, a negative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Public health crises may negatively impact our workforce and operations, as well as those of our strategic partners, customers, suppliers and logistics providers. Impacts of public health crises may include, without limitation, closures of our manufacturing facilities; under-absorbed overhead; increased logistics, component and other costs; decreased demand for our products; and manufacturing challenges. </w:t>
      </w:r>
    </w:p>
    <w:p>
      <w:pPr>
        <w:pStyle w:val="TextBody"/>
        <w:bidi w:val="0"/>
        <w:spacing w:before="240" w:after="0"/>
        <w:jc w:val="left"/>
        <w:rPr>
          <w:rFonts w:ascii="Times New Roman" w:hAnsi="Times New Roman"/>
          <w:sz w:val="20"/>
        </w:rPr>
      </w:pPr>
      <w:r>
        <w:rPr>
          <w:rFonts w:ascii="Times New Roman" w:hAnsi="Times New Roman"/>
          <w:sz w:val="20"/>
        </w:rPr>
        <w:t xml:space="preserve">The effects of public health crises are uncertain and difficult to predict, but may also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supply chain, our operations or those of our strategic partners, customers or suppliers caused by employees or others contracting infectious diseases, or by governmental orders to contain the spread of infectious disease, such as travel restrictions, quarantines, shelter in place orders, trade controls and business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Deterioration of worldwide credit markets that may limit our ability or increase our cost to obtain external financing to fund our operations and capital expenditures and result in a higher rate of losses on our accounts receivables due to customer credit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Extreme volatility in financial markets, which may harm our ability to access the financial markets on acceptable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data security and technology risk as some employees work from home, including possible outages to systems and technologies critical to remote work and increased data privacy risk with cybercriminals attempting to take advantage of the disruption;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productivity or other disruptions of our operations if workers in Flash Ventures factories or our other worksites are exposed to or spread infectious diseases to other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degree to which any public health crises ultimately impact our business will depend on many factors beyond our control, which are highly uncertain and cannot be predicted at this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our key management, staff and skilled employees, the inability to hire and develop new employees or decisions to realign our business could negatively impact our business prospects.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upon the continued contributions of our talent. Changes in our key management team, including the allocation of key employees between us and WDC in connection with the separation, may result in loss of continuity, loss of accumulated knowledge, departure of other key employees, disruptions to our operations and inefficiency during transitional periods. Global competition for skilled employees in the technology industry is intense, and our business success is increasingly dependent on our ability to attract, develop and retain top talent, implement succession plans for key management and staff and replace aging skilled employees. We have put retention arrangements in place for key employees to address the uncertainty about our business separation. We may suffer further attrition following payment of these retention arrangements. Changes in immigration policies may also impair our ability to recruit and hire technical and professional talent.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hire and retain employees also depends on our ability to build and maintain a diverse and inclusive workplace culture and to fund competitive compensation and benefits, each of which contribute to being viewed as an employer of choice. Additionally, because a substantial portion of our key employees compensation is linked to the performance of our business, we may be at a competitive disadvantage for hiring and retaining talent when our operating results are negatively impacted. If we are unable to hire and retain key talent, our operating results would likely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related to product defects, which could result in product recalls or epidemic failures and could subject us to warranty claims in excess of our warranty provisions or which are greater than anticipated, litigation or indemnification claims. </w:t>
      </w:r>
    </w:p>
    <w:p>
      <w:pPr>
        <w:pStyle w:val="TextBody"/>
        <w:bidi w:val="0"/>
        <w:spacing w:before="120" w:after="0"/>
        <w:jc w:val="left"/>
        <w:rPr>
          <w:rFonts w:ascii="Times New Roman" w:hAnsi="Times New Roman"/>
          <w:sz w:val="20"/>
        </w:rPr>
      </w:pPr>
      <w:r>
        <w:rPr>
          <w:rFonts w:ascii="Times New Roman" w:hAnsi="Times New Roman"/>
          <w:sz w:val="20"/>
        </w:rPr>
        <w:t xml:space="preserve">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original equipment manufacturer and original design manufacturer customers. Our business liability insurance may be inadequate or future coverage may be unavailable on acceptable terms, which could negatively impact our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standard warranties contain limits on damages and exclusions of liability for consequential damages and for misuse, improper installation, alteration, accident or mishandling while in the possession of someone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compromise, damage or interruption of our technology infrastructure, systems or products by cyber incidents, data security breaches, other security problems, design defects or system failures could have a material negative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experience cyber incidents of varying degrees on our technology infrastructure and systems and, as a result, unauthorized parties may obtain access to our computer systems and networks, including cloud-based platforms. </w:t>
      </w:r>
    </w:p>
    <w:p>
      <w:pPr>
        <w:pStyle w:val="TextBody"/>
        <w:bidi w:val="0"/>
        <w:spacing w:before="240" w:after="0"/>
        <w:jc w:val="left"/>
        <w:rPr>
          <w:rFonts w:ascii="Times New Roman" w:hAnsi="Times New Roman"/>
          <w:sz w:val="20"/>
        </w:rPr>
      </w:pPr>
      <w:r>
        <w:rPr>
          <w:rFonts w:ascii="Times New Roman" w:hAnsi="Times New Roman"/>
          <w:sz w:val="20"/>
        </w:rPr>
        <w:t xml:space="preserve">For example, an unauthorized third party gained access to a number of WDCs systems in March 2023, which caused disruption to parts of WDCs business operations and resulted in various investigation, recovery and remediation expenses. In addition, the technology infrastructure and systems of some of our suppliers, vendors, service providers, cloud solution providers and partners have in the past experienced, and may in the future experience, such incidents. Cyber incidents can be caused by ransomware, computer denial-of-service attacks, worms and other malicious software programs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 incidents may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may reduce the functionality or performance of our computer systems and networks, which could negatively impact our business. We believe malicious cyber acts are increasing in number and that cyber threat actors are increasingly organized and well-financed or supported by state actors, and are developing increasingly sophisticated systems and means to not only infiltrate systems, but also to evade detection or to obscure their activities. Geopolitical tensions or conflicts may create heightened risk of cyber incidents. </w:t>
      </w:r>
    </w:p>
    <w:p>
      <w:pPr>
        <w:pStyle w:val="TextBody"/>
        <w:bidi w:val="0"/>
        <w:spacing w:before="240" w:after="0"/>
        <w:jc w:val="left"/>
        <w:rPr>
          <w:rFonts w:ascii="Times New Roman" w:hAnsi="Times New Roman"/>
          <w:sz w:val="20"/>
        </w:rPr>
      </w:pPr>
      <w:r>
        <w:rPr>
          <w:rFonts w:ascii="Times New Roman" w:hAnsi="Times New Roman"/>
          <w:sz w:val="20"/>
        </w:rPr>
        <w:t xml:space="preserve">Our products are also targets for malicious cyber acts,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which could harm our business by exposing us to litigation and indemnification claims and hurting our reputation. 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For example, as a result of a network security incident in March 2023, an unauthorized party obtained a copy of a WDC database used for WDCs online store that contained some personal information of our online store customers. Compromises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and subject us to liability. As a result of actual or perceived breaches, we may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BUSINESS AND STRATEGIC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rely substantially on strategic relationships with various partners, including Kioxia, which subjects us to risks and uncertainties that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and expect to continue to enter into strategic relationships with various partners for product development, manufacturing, sales growth and the supply of technologies, components, equipment and materials for use in our product design and manufacturing, including our business ventures with Kioxia. We depend on Flash Ventures for the 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our agreements with Kioxia with respect to the Flash Ventures requires that substantially all of our flash-based memory be obtained from Flash Ventures, which limits our ability to respond to market demand and supply changes and makes our financial results particularly susceptible to variations from our forecasts and expectations. For example, we are contractually obligated to pay for 50% of the fixed costs of Flash Ventures regardless of whether we order any flash-based memory, and our orders placed with Flash Ventures on a rolling basis are binding. As a result, a failure to accurately forecast supply and demand could cause us to over-invest or under-invest in inventory, technology transitions or the expansion of Flash Ventures capacity. Over-investment by us or our competitors can result in excess supply and lead to significant decreases in our product prices, significant excess, obsolete inventory or inventory write-downs or underutilization charges, and the potential impairment of our investments in Flash Ventures. For example, in 2023, WDC incurred $296 million in charges for unabsorbed manufacturing overhead costs as a result of reduced utilization of its manufacturing capacity and $108 million in charges to write down our inventory as a result of decreases in market pricing. These charges were attributable to a significant imbalance of supply and demand and WDCs actions taken in response thereto.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 with respect to the allocation of our supply among our products and customers, which could result in less favorable gross margins or damage customer relationships. In addition, while Flash Ventures is operating, our agreements with Kioxia preclude us from working with third parties to manufacture flash-based memory or from fabricating flash-based memory beyond the capacity specified in the agreements, or from manufacturing flash-based memory ourselves except to the extent that we acquire any manufacturing capacity of a Flash Ventures entity as a result of that entitys dissolution, termination of its joint venture agreements or acquisition by us. This could also impair our ability to consolidate with other industry participants who manufacture flash-based memory. </w:t>
      </w:r>
    </w:p>
    <w:p>
      <w:pPr>
        <w:pStyle w:val="TextBody"/>
        <w:bidi w:val="0"/>
        <w:spacing w:before="240" w:after="0"/>
        <w:jc w:val="left"/>
        <w:rPr>
          <w:rFonts w:ascii="Times New Roman" w:hAnsi="Times New Roman"/>
          <w:sz w:val="20"/>
        </w:rPr>
      </w:pPr>
      <w:r>
        <w:rPr>
          <w:rFonts w:ascii="Times New Roman" w:hAnsi="Times New Roman"/>
          <w:sz w:val="20"/>
        </w:rPr>
        <w:t xml:space="preserve">Our control over the operations of our business ventures may be limited, and our interests could diverge from our strategic partners interests regarding ongoing and future activities. For example, each Flash Ventures entity operates for a defined period of time agreed upon between the joint venture partners. Absent further extensions as mutually agreed between us and Kioxia, Flash Partners Ltd. and Flash Alliance Ltd. are currently set to expire on December 31, 2029, and Flash Forward Ltd. is currently set to expire on December 31, 2034. Each Flash Ventures entitys joint venture agreements may also earlier terminate upon the occurrence of certain specified events, including earlier dissolution by agreement of the parties or an event of default or bankruptcy. Upon the expiration of a Flash Ventures entitys joint venture agreements, whenever that may occur, the applicable Flash Ventures entity will commence a wind-up process and be dissolved. Net proceeds from the dissolution will be distributed in kind or cash to us and Kioxia on a pro rata basis based on our respective ownership positions. The applicable Flash Venture entity will continue to operate during the period of winding up. Although we and Kioxia have agreed to extend the operating period for each Flash Ventures entity since the start of Flash Ventures, there is a risk that we and Kioxia will be unable to agree on a further extension of one or more of the Flash Ventures entities. Additionally, under the Flash Ventures agreements, we cannot unilaterally direct most of Flash Ventures activities, and we have limited ability to source or fabricate flash outside of Flash Ventures. Flash Ventures requires significant investments by both Kioxia and us for technology transitions and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expansions, and our business could be harmed if our technology roadmap and investment plans are not sufficiently aligned with Kioxias. Lack of alignment with Kioxia with respect to Flash Ventures could negatively impact our ability to react quickly to changes in the market, or to stay at the forefront of technological advancement. Misalignment could arise due to changes in Kioxias strategic priorities, management, ownership or access to capital, which have changed in recent years and could continue to change. Kioxias stakeholders may include, or have included in the past, competitors, customers, a private equity firm, government entities or public stockholders. Kioxias management changes, ownership and capital structure could lead to delays in decision-making, disputes or changes in strategic direction that could negatively impact the strategic partnership, and therefore us. There may exist conflicts of interest between Kioxias stakeholders and Flash Ventures or us with respect to, among other things, protecting and growing Flash Ventures business, intellectual property and competitively sensitive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Together with Kioxia, we fund a portion of the investments required for Flash Ventures through lease financings. Continued availability of lease financings for Flash Ventures is not guaranteed and could be limited by several factors, including investor capacity and risk allocation policies, our or Kioxias financial performance and changes to our or Kioxias business, ownership or corporate structure. To the extent that lease financings are not accessible on favorable terms or at all, more cash would be required to fund investments. </w:t>
      </w:r>
    </w:p>
    <w:p>
      <w:pPr>
        <w:pStyle w:val="TextBody"/>
        <w:bidi w:val="0"/>
        <w:spacing w:before="240" w:after="0"/>
        <w:jc w:val="left"/>
        <w:rPr>
          <w:rFonts w:ascii="Times New Roman" w:hAnsi="Times New Roman"/>
          <w:sz w:val="20"/>
        </w:rPr>
      </w:pPr>
      <w:r>
        <w:rPr>
          <w:rFonts w:ascii="Times New Roman" w:hAnsi="Times New Roman"/>
          <w:sz w:val="20"/>
        </w:rPr>
        <w:t xml:space="preserve">Our strategic relationships are subject to additional risks that could harm our business,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our strategic partners to comply with applicable laws or employ effective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product and technology development at, ramping production at and transferring technology to, our strategic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declining financial performance of our strategic partners, including failure by our strategic partners to timely fund capital investments with us or otherwise meet their commitments, including paying amounts owed to us or third parties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the rights to, or ability to independently manufacture, certain technology or products being developed or manufactured by strategic partners, including if any of them is acquired by another company, files for bankruptcy or experiences financial or other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bankruptcy event involving a strategic partner could result in structural changes to or termination of the strategic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or regulatory requirements may necessitate changes to the agreements governing our strategic partnerships.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participate in a highly competitive industry that is subject to declining average selling prices, volatile demand, rapid technological change and industry consolidation, as well as lengthy product qualifications, all of which can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Demand for our devices, software and solutions, which we refer to in this Risk Factors section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Demand for and prices of our products are influenced by, among other factors, actual and projected data growth, the balance between supply and demand in the storage market, including the effects of new fab capacity, macroeconomic factors, business conditions, technology transitions and other actions taken by us or our competitors. The storage market has recently experienced, and may continue to experience, periods of excess capacity leading to liquidation of excess inventories, inventory write-downs, significant reductions in average selling prices and negative impacts on our revenue and gross margins, and volatile product life cycles that harm our ability to recover the cost of product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our average selling prices and gross margins tend to decline when there is a shift in the mix of product sales to lower priced products. We have faced declining gross margins relating to the Flash Business in the past, and may face potential gross margin pressures in the future, resulting from our average selling prices declining more rapidly than our cost of revenue. Rapid technological changes often reduce the volume and profitability of sales of existing products and increase the risk of inventory obsolescence and write-downs. Finally, the data storage industry has experienced consolidation over the past several years, which could enhance the resources and lower the cost structure of some competitors. These factors could result in a substantial decrease in our market share and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As we compete in new product areas, the overall complexity of our business may increase and may result in increases in research and development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which may allow them to win sales from us, and some of our customers may be developing storage solutions internally, which may reduce their demand for our products. We expect that competition will continue to be intense, and our competitors may be able to gain a product offering or cost structure advantage over us, which would harm our business. Further, our competitors may utilize pricing strategies, including offering products at prices at or below cost, that we may be unable to competitively match. We may also have difficulty effectively competing with manufacturers benefiting from governmental investments and may be subject to increased complexity and reduced efficiency in our supply chain as a result of governmental efforts to promote domestic semiconductor industries in various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properly manage technology transitions and product development and introduction, our competitiveness and operating results may be negatively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markets for our products continuously undergo technology transitions that may impact our product roadmaps and that we must anticipate in order to adapt our existing products or develop new products effectively. If we fail to adapt to or implement new technologies or develop new products desired by our customers quickly and cost-effectively, or if technology transitions negatively impact our existing product roadmaps, our business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success of our technology transitions and product development depends on a number of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expenses and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faced in manufacturing ramp;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acceptance/qualification;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management of inventory levels in line with anticipated product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vertical integration of some of our products, which may result in more capital expenditures and greater fixed costs than if we were not vertically integrated;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cost effectively respond to customer requests for new products or features (including requests for more efficient and efficiently produced products with reduced environmental impacts) and software associated with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our software development capability;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go-to-market capability in selling new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expected or if the supporting technologies to implement these new technologies are not available, we may be unable to achieve the cost structure required to support our profit objectives or may be unable to grow or maintain our market position.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new technologies could impact demand for our products in unforeseen or unexpected ways and new products could substitute for our current products and make them obsolete, each of which would harm our business. We also develop products to meet certain industry and technical standards, which may change and cause us to incur substantial costs as we adapt to new standards or invest in different manufacturing processes to remain competitive.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experience sales seasonality and cyclicality, which could cause our operating results to fluctuate. In addition, accurately forecasting demand has become more difficult,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Sales of many of our products tend to be seasonal and subject to supply-demand cycles. Changes in seasonal and cyclical supply and demand patterns have made it, and could continue to make it, more difficult for us to forecast demand. Changes in the product or channel mix of our business may also impact seasonal and cyclical patterns. For example, we often ship a high percentage of our total quarterly sales in the third month of the quarter, which makes it difficult for us to forecast our financial results before the end of each quarter. As a result of the above or other factors, our forecast of financial results for a given quarter may differ materially from our actual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The variety and volume of products we manufacture are based in part on accurately forecasting market and customer demand for our products. Accurately forecasting demand has become increasingly difficult for us, our customers and our suppliers due to volatility in global economic conditions, end market dynamics and industry consolidation, resulting in less availability of historical market data for certain product segments. Further, for many of our original equipment manufacturer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This has caused, and may in the future cause, our forecasts to exceed actual market demand, resulting in periods of product oversupply, excess inventory, underutilization of manufacturing capacity and price decreases, which has impacted and could further impact our sales, average selling prices and gross margin or require us to incur additional inventory write-downs or additional charges for unabsorbed manufacturing overhead, thereby negatively affecting our operating results and our financial condition. For example, in 2023, WDC incurred $296 million in charges for unabsorbed manufacturing overhead costs as a result of reduced utilization of its manufacturing capacity and $108 million in charges to write down its inventory as a result of decreases in market pricing. These charges were attributable to a significant imbalance of supply and demand and our actions taken in response thereto.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successfully execute on strategic initiatives including acquisitions, divestitures or cost saving measures may negatively impact our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We may make acquisitions and divestitures and engage in cost saving measures. In order to successfully execute on strategic initiatives, we must successfully complete attractive transactions, some of which may be large and complex, and manage post-closing issues such as integration of the acquired company or employees and integration of processes and systems. We may not be able to identify or complete appealing acquisition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may result in inconsistencies in standards, controls, procedures and policies and may increase the risk that our internal controls are found to be ineffective. </w:t>
      </w:r>
    </w:p>
    <w:p>
      <w:pPr>
        <w:pStyle w:val="TextBody"/>
        <w:bidi w:val="0"/>
        <w:spacing w:before="240" w:after="0"/>
        <w:jc w:val="left"/>
        <w:rPr>
          <w:rFonts w:ascii="Times New Roman" w:hAnsi="Times New Roman"/>
          <w:sz w:val="20"/>
        </w:rPr>
      </w:pPr>
      <w:r>
        <w:rPr>
          <w:rFonts w:ascii="Times New Roman" w:hAnsi="Times New Roman"/>
          <w:sz w:val="20"/>
        </w:rPr>
        <w:t xml:space="preserve">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(including goodwill impairments or other asset write-downs) and other expenses, both of which could negatively impact our results of operations or financial condition. Acquisitions and investments may also result in the issuance of equity securities that may be dilutive to our stockholders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 </w:t>
      </w:r>
    </w:p>
    <w:p>
      <w:pPr>
        <w:pStyle w:val="TextBody"/>
        <w:bidi w:val="0"/>
        <w:spacing w:before="240" w:after="0"/>
        <w:jc w:val="left"/>
        <w:rPr>
          <w:rFonts w:ascii="Times New Roman" w:hAnsi="Times New Roman"/>
          <w:sz w:val="20"/>
        </w:rPr>
      </w:pPr>
      <w:r>
        <w:rPr>
          <w:rFonts w:ascii="Times New Roman" w:hAnsi="Times New Roman"/>
          <w:sz w:val="20"/>
        </w:rPr>
        <w:t xml:space="preserve">Cost saving measures, restructurings and divestitures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forgo future business opportunities as a result of these actions. </w:t>
      </w:r>
    </w:p>
    <w:p>
      <w:pPr>
        <w:pStyle w:val="TextBody"/>
        <w:bidi w:val="0"/>
        <w:spacing w:before="240" w:after="0"/>
        <w:jc w:val="left"/>
        <w:rPr>
          <w:rFonts w:ascii="Times New Roman" w:hAnsi="Times New Roman"/>
          <w:sz w:val="20"/>
        </w:rPr>
      </w:pPr>
      <w:r>
        <w:rPr>
          <w:rFonts w:ascii="Times New Roman" w:hAnsi="Times New Roman"/>
          <w:sz w:val="20"/>
        </w:rPr>
        <w:t xml:space="preserve">Acquisitions and alliance activities inherently involve other risks as well. Additional risks we may encounter include those associated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to our business and the continued successful execution of our company strategy, goals and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capital and research and development expenses and resource allocation;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assimilation and integration of different business operations, corporate cultures, personnel, infrastructures and technologies or solutions acquired or licensed, while maintaining quality, and designing and implementing appropriate risk management measures;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significant transaction fees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unknown liabilities within the acquired or combined business that we may not become aware of until after the completion of the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conflict with joint venture or alliance partners regarding strategic direction, prioritization of objectives and goals, governance matters or operations.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Loss of revenue from a key customer, or consolidation among our customer base, could harm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For 2024, 2023 and 2022, 41%, 47% and 47%, respectively, of our total revenue came from sales to our top ten customers. These customers have a variety of suppliers to choose from and therefore can make substantial demands on us, including demands on product pricing, contractual terms and the environmental impact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attributes of our products, often resulting in the allocation of risk or increased costs to us as the supplier. Our ability to maintain strong relationships with our principal customers is essential to our future performance. We may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may impact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in the distribution channel and to the retail market are important to our business, and if we fail to respond to demand changes within these markets, or maintain and grow our applicable market share, our business could suffer. </w:t>
      </w:r>
    </w:p>
    <w:p>
      <w:pPr>
        <w:pStyle w:val="TextBody"/>
        <w:bidi w:val="0"/>
        <w:spacing w:before="120" w:after="0"/>
        <w:jc w:val="left"/>
        <w:rPr>
          <w:rFonts w:ascii="Times New Roman" w:hAnsi="Times New Roman"/>
          <w:sz w:val="20"/>
        </w:rPr>
      </w:pPr>
      <w:r>
        <w:rPr>
          <w:rFonts w:ascii="Times New Roman" w:hAnsi="Times New Roman"/>
          <w:sz w:val="20"/>
        </w:rPr>
        <w:t xml:space="preserve">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business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negatively impacted. Negative changes in the creditworthiness or the ability to access credit, or the bankruptcy or shutdown of any of our significant retail or distribution partners would harm our revenue and our ability to collect outstanding receivable balances. </w:t>
      </w:r>
    </w:p>
    <w:p>
      <w:pPr>
        <w:pStyle w:val="TextBody"/>
        <w:bidi w:val="0"/>
        <w:spacing w:before="240" w:after="0"/>
        <w:jc w:val="left"/>
        <w:rPr>
          <w:rFonts w:ascii="Times New Roman" w:hAnsi="Times New Roman"/>
          <w:sz w:val="20"/>
        </w:rPr>
      </w:pPr>
      <w:r>
        <w:rPr>
          <w:rFonts w:ascii="Times New Roman" w:hAnsi="Times New Roman"/>
          <w:sz w:val="20"/>
        </w:rPr>
        <w:t xml:space="preserve">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negative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negatively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FINANCIAL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level of debt may negatively impact our liquidity, restrict our operations and ability to respond to business opportunities and increase our vulnerability to adverse economic and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we incurred and utilized debt financing in our capital structure, and in the future, we may incur additional debt. The amount of debt may be substantial and may be on terms less favorable to us than those historically provided to WDC. Our level of debt could have significant consequences, which may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for working capital, capital expenditures, acquisitions, capital contributions to Flash Ventures or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 substantial portion of our cash flows to be dedicated to debt service payments instead of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imposing financial and other restrictive covenants on our operations, including minimum liquidity and free cash flow requirements and limitations on our ability to (i) declare or pay dividends or repurchase shares of our common stock; (ii) purchase assets, make investments, complete acquisitions, consolidate or merge with or into, or sell all or substantially all of our assets to, another person; (iii) enter into sale/leaseback transactions or certain transactions with affiliates; (iv) incur additional indebtedness and (v) incur liens;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us more vulnerable to economic downturns and limiting our ability to withstand competitive pressures or take advantage of new opportunities to grow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ability to meet our debt service obligations, comply with our debt covenants and deleverage will depend on our cash flows and financial performance, which may be affected by financial, business, economic and other factors. The rate at which we are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If we do not have sufficient funds available to repay indebtedness when due, whether at maturity or by acceleration, we may be required to sell important strategic assets, refinance such debt, incur additional debt or issue common stock or other equity securities, which we may not be able to do on terms acceptable to us, in amounts sufficient to meet our needs or at all. Our inability to service our debt obligations or refinance our debt could harm our business. Further, if we are unable to repay, refinance or restructure any of our indebtedness that is secured, the holder of such debt could proceed against the collateral securing the indebtedness. Refinancing our indebtedness may also require us to expense previous debt issuance costs or to incur new debt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Our financing arrangements include bank debt containing a variable interest rate component based on our corporate credit ratings, and a decline in our ratings could result in increased interest rates and debt service obligations. In addition, our ratings will impact the cost and availability of future borrowings and, accordingly, our cost of capital. Our ratings will reflect the opinions of the ratings agencies as to our financial strength, operating performance and ability to meet our debt obligations. There can be no assurance that we will achieve a particular rating or maintain a particular rating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also guarantee a significant amount of lease obligations of Flash Ventures owed to third parties. Flash Ventures sells to and leases back a portion of its equipment from a consortium of financial institutions. Most of the lease obligations are guaranteed 50% by us and 50% by Kioxia. Some of the lease obligations are guaranteed in full by us. The leases are subject to customary covenants and cancellation events that relate to Flash Ventures and each of the guarantors. If a cancellation event were to occur, Flash Ventures would be required to negotiate a resolution with the other parties to the lease transactions to avoid cancellation and acceleration of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seek to further refinance our indebtedness by issuing additional shares of common stock or other securities that are convertible into common stock or grant the holder the right to purchase common stock, each of which may dilute our existing stockholders, reduce the value of our common stock,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currency exchange rates as a result of our international operations may negatively affect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When such events occur, they have had, and may in the future have, a negative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negatively impact demand and revenue growth. In addition, currency variations may adversely affect margins on sales of our products in countries outside the U.S.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attempted to manage the impact of foreign currency exchange rate changes by, among other things, entering into short-term foreign exchange contracts. The effectiveness of this hedging strategy is dependent on business, market and global economic conditions, and our approach to foreign currency exchange rate hedging is subject to change. Even when used for hedging purposes, foreign exchange contracts may not cover our full exposure and can be canceled by the counterparty if currency controls are put in place. Thus, this hedging strategy with respect to currency risks may not be successful and may actually harm our operating results. Further, the ability to enter into foreign exchange contracts with financial institutions is based upon our available credit from such institutions and compliance with covenants and other restrictions. Operating losses, third-party downgrades of our credit rating or instability in the worldwide financial markets could impact our ability to effectively manage our foreign currency exchange rate risk. Hedging also exposes us to the credit risk of our counterparty financial institutions.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our customers credit risk could result in credit losses and term extensions under existing contracts with customers with credit losses could result in an increase in our operating costs. </w:t>
      </w:r>
    </w:p>
    <w:p>
      <w:pPr>
        <w:pStyle w:val="TextBody"/>
        <w:bidi w:val="0"/>
        <w:spacing w:before="120" w:after="0"/>
        <w:jc w:val="left"/>
        <w:rPr>
          <w:rFonts w:ascii="Times New Roman" w:hAnsi="Times New Roman"/>
          <w:sz w:val="20"/>
        </w:rPr>
      </w:pPr>
      <w:r>
        <w:rPr>
          <w:rFonts w:ascii="Times New Roman" w:hAnsi="Times New Roman"/>
          <w:sz w:val="20"/>
        </w:rPr>
        <w:t xml:space="preserve">Some of our original equipment manufacturer customers have adopted a subcontractor model that requires us to contract directly with companies, such as original design manufacturers, that provide manufacturing and fulfillment services to our original equipment manufacturer customers. Because these subcontractors are generally not as well capitalized as our direct original equipment manufacturer customers, this subcontractor model exposes us to increased credit risks. Our agreements with our original equipment manufacturer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permit us to increase our product prices to alleviate this increased credit risk. Additionally, as we attempt to expand our original equipment manufacturer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AND COMPLIANCE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laws, rules and regulations relating to the collection, use, security and privacy of third-party data, including data that relates to or identifies an individual person. We are also subject to the terms of our privacy policies and obligations to third parties related to privacy, data protection and cybersecurity. In many cases, these requirements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require us to notify vendors, customers or employees or other parties with which we have commercial relations of a data security breach and to respond to regulatory inquiries and to enforcement proceedings. Laws and regulations relating to the collection, use, security and privacy of third-party data change over time and new laws and regulations become effective from time to time. We are subject to notice and privacy policy requirements, as well as obligations to respond to requests to know and access personal information, correct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Compliance requirements or even our inadvertent failure to comply with applicable laws may cause us to incur substantial costs, subject us to proceedings by governmental entities or others, and cause us to incur penalties or other significant legal liability or lead us to change our business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or may in the future be subject to state, federal and international legal and regulatory requirements, such as environmental, labor, health and safety, trade and public-company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and may become subject to additional, state, federal and international laws and regulations governing our environmental, labor, trade, health and safety practices and public-company reporting and disclosures requirements.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responses in the near future, which could substantially increase the complexity of our public-company reporting and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aspirations, disclosures and actions related to environmental, social and governance matters expose us to risks that could adversely affect our reputation and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There is a focus from investors, customers, associates, business partners and other stakeholders concerning environmental, social and governance matters, and we may announce initiatives and goals related to environmental, social and governance matters from time to time, including renewable energy and net zero emissions commitments. These statements reflect our current plans and aspirations and are not guarantees that we will be able to achieve them. Our ability to achieve any environmental, social and governance objective is subject to numerous risks, many of which are outside of our control, including the availability and cost of alternative energy sources; the evolving regulatory and reporting requirements affecting environmental, social and governance practices and disclosures; the locations and usage of our products and the implications on their greenhouse gas emissions; and the successful execution of our strategy. Our failure to accomplish or accurately track and report on these goals on a timely basis, or at all, and the potential added costs involved, could adversely affect our reputation; financial performance and growth; our ability to attract or retain talent; and our attractiveness as a business partner or supplier, and could expose us to increased litigation risk, as well as increased scrutiny from the investment community and enforcement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certain of our officers may at times be involved in litigation, investigations and governmental proceedings, which may be costly, may divert the efforts of our key personnel and could result in adverse court rulings, fines or penalties, which could materially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involved in litigation, including antitrust and commercial matters, putative securities class action suits and other actions. We may be the plaintiff in some of these actions and the defendant in others. Some of the actions may seek injunctive relief, including injunctions against the sale of our products, and substantial monetary damages, which if granted or awarded, could materially harm our business. From time to time, we may also be the subject of inquiries, requests for information, investigations and actions by government and regulatory agencies regarding our business. Any such matters could result in material adverse consequences to our results of operations, financial condition or ability to conduct our business, including fines, penalties or restrictions on our business activities. </w:t>
      </w:r>
    </w:p>
    <w:p>
      <w:pPr>
        <w:pStyle w:val="TextBody"/>
        <w:bidi w:val="0"/>
        <w:spacing w:before="240" w:after="0"/>
        <w:jc w:val="left"/>
        <w:rPr>
          <w:rFonts w:ascii="Times New Roman" w:hAnsi="Times New Roman"/>
          <w:sz w:val="20"/>
        </w:rPr>
      </w:pPr>
      <w:r>
        <w:rPr>
          <w:rFonts w:ascii="Times New Roman" w:hAnsi="Times New Roman"/>
          <w:sz w:val="20"/>
        </w:rPr>
        <w:t xml:space="preserve">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may be complex, may extend for a protracted period of time, may be very expensive and the expense may be unpredictable. Litigation initiated by us could also result in counter-claims against us, which could increase the costs associated with the litigation and result in our payment of damages or other judgments against us. In addition, litigation, investigations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proceedings and any related publicity may divert the efforts and attention of some of our key personnel, affect demand for our products and harm the market prices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nature of our industry and its reliance on intellectual property and other proprietary information subjects us and our suppliers, customers and partners to the risk of significant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data storage industry has been characterized by significant litigation. This includes litigation relating to patent and other intellectual property rights, product liability claims and other types of litigation. We have historically been involved in frequent disputes regarding patent and other intellectual property rights, and we and our customers have in the past received, and we and our customers may in the future receive, communications from third parties asserting that certain of our products, processes or technologies infringe upon their patent rights, copyrights, trademark rights or other intellectual property rights. Even if we believe that such claims are without merit, they may be time-consuming and costly to defend against and may divert managements attention and resources away from our business. We may also receive claims of potential infringement if we attempt to license intellectual property to others. Intellectual property risks increase when we enter into new markets where we have little or no intellectual property protection as a deterrent against litigation. The complexity of the technology involved and the uncertainty of intellectual property litigation increase the intellectual property risks we face. Litigation may be expensive, lengthy and disruptive to normal business operations. Moreover, the results of litigation are inherently uncertain and may result in adverse rulings or decisions. We may be subject to injunctions, enter into settlements or be subject to judgments that may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incorporate third-party technology into our products or if claims or actions are asserted against us for alleged infringement of the intellectual property of others, we may be required to obtain a license or cross-license, modify our existing technology or design a new non-infringing technology. Such licenses or design modifications may be extremely costly. We evaluate notices of alleged patent infringement and notices of patents from patent holders that we receive from time to time. We may decide to settle a claim or action against us, which settlement could be costly. We may also be liable for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Moreover, from time to time, we agree to indemnify certain of our suppliers and customers for alleged intellectual property infringement. The scope of such indemnity varies but may include indemnification for direct and consequential damages and expenses, including attorneys fees. We may be engaged in litigation as a result of these indemnification obligations. Third-party claims for patent infringement are excluded from coverage under our insurance policies. A future obligation to indemnify our customers or suppliers may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reliance on intellectual property and other proprietary information subjects us to the risk that these key components of our business could be copied by competitors.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significant part, on the proprietary nature of our technology, including non-patentable intellectual property such as our process technology. If we fail to protect our technology, intellectual property or contract rights, our customers and others may seek to use our technology and intellectual property without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of license fees and royalties, which could weaken our competitive position, reduce our operating results and increase the likelihood of costly litigation.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may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we cannot be certain that these contracts and safeguards have not been and will not be breached, that we will be able to timely detect unauthorized use or transfer of our technology and intellectual property, that we will have adequate remedies for any breach, or that our trade secrets will not otherwise become known or be independently discovered by competitors. Any of our registered or unregistered intellectual property rights may be challenged or exploited by others in the industry, which could harm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Maintaining and strengthening our brands are important to maintaining and expanding our business, as well as to our ability to enter into new markets for our technologies, products and services. The success of our brands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negatively affect our reputation and impair the value of our brands, which in turn could negatively impact sales of our branded products, our share and our gross margin, as well as increase our administrative costs related to brand protection and counterfeit detection and prosecution. Additionally, our ability to prevent unauthorized uses of our brands and technologies would be negatively impacted if our trademark registrations were successfully challenged or overturned in the jurisdictions where we do business. We also have trademark applications pending in a number of jurisdictions that may not ultimately be granted, or if granted, may be challenged or invalidated, in which case we would be unable to prevent unauthorized use of our brands and logos in such jurisdictions. We have not filed trademark registrations in all jurisdictions where our brands or logos may be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material impairments in the value of our goodwill, intangible assets and other long-lived assets would negatively affect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regularly review our goodwill and property, plant and equipment for potential impairment. Goodwill and indefinite-lived intangible assets are subject to impairment reviews on an annual basis, or more frequently if events or changes in circumstances indicate that goodwill may be impaired. We use qualitative factors to determine whether goodwill is more-likely-than-not impaired and whether a quantitative test for impairment is considered necessary. If we conclude from the qualitative assessment that goodwill is more-likely-than-not-impaired, we are required to perform a quantitative analysis to determine the amount of impairment. Subsequent to the completion of the separation, we identified potential impairment indicators related to the trading price of our common stock and a resulting market capitalization that was below its December 27, 2024 net book value. In accordance with Accounting Standards Codification No. 350, Intangibles - Goodwill and Other, we initiated a quantitative analysis of potential impairment of goodwill and long-lived assets. That analysis is ongoing, and we believe it is more likely than not that we will record an impairment charge in the three months ended March 28, 2025. Further adverse changes to macroeconomic conditions or our estimates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our reporting unit could impact the amount of any impairment charges or lead to additional impairment charges. Material impairment charges would negatively affect our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Spin-Off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not achieve some or all of the expected benefits of the spin-off, and the spin-off may adversely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not realize any strategic, financial, operational or other benefits from the spin-off. We cannot predict with certainty if or when anticipated benefits will occur or the extent to which they will be achieved. Following the completion of the spin-off, our operational and financial profile has changed and may continue to change and we face new risks. We are now a smaller and less-diversified company compared to WDC prior to the spin-off, and may be more vulnerable to changing market conditions. While we believe that the spin-off has positioned each company to better unlock its full standalone long-term potential, we cannot assure you that we will be successful. Further, there can be no assurance that the combined value of our shares and the shares of WDC is or will be equal to or greater than what the value of our common stock would have been had the spin-off not occurred. We or WDC may offer products or engage in businesses that compete with the other companys products or businesses. Under the separation and distribution agreement between WDC and us, WDC is subject to certain limited noncompetition obligations for a specified period of time after the separation but otherwise will not be restricted in its ability to compete with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and expect to continue to incur ongoing material costs and expenses as a result of the spin-off. </w:t>
      </w:r>
    </w:p>
    <w:p>
      <w:pPr>
        <w:pStyle w:val="TextBody"/>
        <w:bidi w:val="0"/>
        <w:spacing w:before="120" w:after="0"/>
        <w:jc w:val="left"/>
        <w:rPr>
          <w:rFonts w:ascii="Times New Roman" w:hAnsi="Times New Roman"/>
          <w:sz w:val="20"/>
        </w:rPr>
      </w:pPr>
      <w:r>
        <w:rPr>
          <w:rFonts w:ascii="Times New Roman" w:hAnsi="Times New Roman"/>
          <w:sz w:val="20"/>
        </w:rPr>
        <w:t xml:space="preserve">We may incur costs and expenses greater than those we expected to incur as a result of the spin-off. These increased costs and expenses may arise from various factors, including financial reporting and costs associated with complying with federal securities laws (including compliance with the Sarbanes-Oxley Act). We have incurred and expect to continue to incur ongoing costs and dis-synergies in connection with, or as a result of, the separation and related restructuring transactions, including costs of operating as independent, publicly traded companies that the two businesses will no longer be able to share. We cannot assure you that these costs will not be material to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satisfy the requirements of Section 404 of the Sarbanes-Oxley Act, or our internal control over financial reporting is not effective, the reliability of our financial statements may be questioned, and our stock price may suffer. </w:t>
      </w:r>
    </w:p>
    <w:p>
      <w:pPr>
        <w:pStyle w:val="TextBody"/>
        <w:bidi w:val="0"/>
        <w:spacing w:before="120" w:after="0"/>
        <w:jc w:val="left"/>
        <w:rPr>
          <w:rFonts w:ascii="Times New Roman" w:hAnsi="Times New Roman"/>
          <w:sz w:val="20"/>
        </w:rPr>
      </w:pPr>
      <w:r>
        <w:rPr>
          <w:rFonts w:ascii="Times New Roman" w:hAnsi="Times New Roman"/>
          <w:sz w:val="20"/>
        </w:rPr>
        <w:t xml:space="preserve">Section 404 of the Sarbanes-Oxley Act requires any company subject to the reporting requirements of the U.S. securities laws to do a comprehensive evaluation of its and its consolidated subsidiaries internal control over financial reporting. Neither we nor our independent registered public accounting firm is required to formally attest to the effectiveness of our internal control over financial reporting until the year following the first annual report required to be filed with the SEC.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our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If our management concludes that our internal control over financial reporting is not effective, or we identify material weaknesses in our internal controls, investor confidence in our financial results may weaken, and our stock price may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were spun off from our former parent company, WDC, and our historical and pro forma financial information is not necessarily representative of the results that we would have achieved as a separate, publicly traded company and therefore may not be a reliable indicator of our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were spun off from WDC, our former parent company, and have only operated as an independent, publicly traded company since February 21, 2025. The historical information about us in this prospectus refers to our business as part of pre-spin-off WDC. Our historical and pro forma financial information included in this prospectus is derived from the combined financial statements and accounting records of WDC. Accordingly, the historical and pro forma financial information included in this prospectus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make significant investments to replicate or outsource certain systems, infrastructure and functional expertise in the future. These initiatives to develop our independent ability to operate will be costly to implement. We may not be able to operate our business as efficiently or at comparable costs, and our profitability may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we finance our working capital or other cash requirements may differ from how we financed those requirements as part of pre-spin-off WDC. Our access to and cost of debt financing is different from the historical access to and cost of debt financing under pre-spin-off WDC. Differences in access to and cost of debt financing are likely to result in differences in interest rates charged to us on financings, the amounts of indebtedness, types of financing structures and debt markets that may be available to us, which may have an adverse effect on our business, financial condition, results of operations and cash flows;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preparing our financial statements, pre-spin-off WDC made allocations of costs and corporate expenses deemed to be attributable to our business. However, these costs and expenses reflect the costs and expenses attributable to our business operated as part of a larger organization and do not necessarily reflect costs and expenses that would be incurred by us had we been operating independently. As a result, our historical financial information may not be a reliable indicator of future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the past financial performance of our business and the basis of presentation of the historical combined financial statements and the unaudited pro forma combined financial statements of our business, see the sections of this prospectus entitled Unaudited Pro Forma Condensed Combined Financial Information, Notes to Unaudited Pro Forma Condensed Combined Financial Information, Summary of Historical and Unaudited Pro Forma Condensed Combined Financial Data and Managements Discussion and Analysis of Financial Condition and Results of Operations as well as the combined financial statements and accompanying notes,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WDC may fail to perform under various transaction agreements that were executed as part of the spin-off, or we may fail to have necessary systems and services in place when WDC is no longer obligated to provide services under the various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spin-off, we entered into certain agreements with WDC, such as the separation and distribution agreement, a transition services agreement, a tax matters agreement, an employee matters agreement, a stockholders and registration rights agreement, a transitional trademark license agreement and an intellectual property cross-license agreement, as discussed in greater detail in the section of this prospectus entitled Certain Relationships and Related TransactionsMaterial Agreements with WDC, which provide for the performance by each company for the benefit of the other for a period of time after the spin-off. If WDC is unable to satisfy its obligations under these agreements, including its indemnification obligations in favor of us, we could incur operational difficulties or losses. </w:t>
      </w:r>
    </w:p>
    <w:p>
      <w:pPr>
        <w:pStyle w:val="TextBody"/>
        <w:bidi w:val="0"/>
        <w:spacing w:before="240" w:after="0"/>
        <w:jc w:val="left"/>
        <w:rPr>
          <w:rFonts w:ascii="Times New Roman" w:hAnsi="Times New Roman"/>
          <w:sz w:val="20"/>
        </w:rPr>
      </w:pPr>
      <w:r>
        <w:rPr>
          <w:rFonts w:ascii="Times New Roman" w:hAnsi="Times New Roman"/>
          <w:sz w:val="20"/>
        </w:rPr>
        <w:t xml:space="preserve">If we do not have in place our own systems and services, and do not have agreements with other providers of these services when the transitional or other agreements terminate, or if we do not implement the new systems or replace WDCs services successfully, we may not be able to operate our business effectively, which could disrupt our business and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systems and services may also be more expensive to install, implement and operate, or less efficient than the systems and services WDC provides during the transition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connection with our spin-off from WDC, WDC has agreed to indemnify us for certain liabilities. However, there can be no assurance that the indemnity will be sufficient to protect us against the full amount of such liabilities, or that WDCs ability to satisfy its indemnification obligation will not be impaired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WDC has agreed to indemnify us for certain liabilities as discussed further in the section of this prospectus entitled Certain Relationships and Related TransactionsMaterial Agreements with WDC. However, third parties could also seek to hold us responsible for liabilities that WDC has agreed to retain, and there can be no assurance that the indemnity from WDC will be sufficient to protect us against the full amount of such liabilities, or that WDC will be able to fully satisfy its indemnification obligations. In addition, WDCs insurers may attempt to deny coverage to us for liabilities associated with certain occurrences of indemnified liabilities prior to the spin-off.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connection with our spin-off from WDC, we have agreed to assume, and indemnify WDC for, certain liabilities. If we are required to make payments pursuant to these indemnities to WDC, we would need to meet those obligations and our financial results could be adversely impacted.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assume, and indemnify WDC for, certain liabilities as discussed further in the section of this prospectus entitled Certain Relationships and Related TransactionsMaterial Agreements with WDC. Payments pursuant to these indemnities may be significant and could adversely impact our business, financial condition, results of operations and cash flows, particularly indemnities relating to our actions that could impact the tax-free nature of the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distribution of our shares, together with certain related transactions, does not continue to qualify for the Intended Tax Treatment, Sandisk, WDC and WDC stockholders could be subject to significant U.S. federal income tax liabilities and, in certain circumstances, we could be required to indemnify WDC for material taxes pursuant to indemnification obligations under the 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to the completion of the distribution, WDC received an opinion of counsel (the Tax Opinion) that, among other things, the distribution, together with certain related transactions, qualifies for the Intended Tax Treatment. The Tax Opinion was based on and relies on certain facts, assumptions, representations and undertakings from WDC and us, including those regarding the past and future conduct of the companies respective businesses and other matters. Nevertheless, an opinion of counsel neither binds the Internal Revenue Service (the IRS) nor precludes the IRS or the courts from adopting a contrary position. Therefore, notwithstanding the Tax Opinion, the IRS could determine that the distribution or any such related transaction is taxable if it determines that any of these facts, assumptions, representations or undertakings are not correct or have been violated, or that the distribution should be taxable for other reasons, including if the IRS were to disagree with the conclusions in the Tax Opinion. </w:t>
      </w:r>
    </w:p>
    <w:p>
      <w:pPr>
        <w:pStyle w:val="TextBody"/>
        <w:bidi w:val="0"/>
        <w:spacing w:before="240" w:after="0"/>
        <w:jc w:val="left"/>
        <w:rPr>
          <w:rFonts w:ascii="Times New Roman" w:hAnsi="Times New Roman"/>
          <w:sz w:val="20"/>
        </w:rPr>
      </w:pPr>
      <w:r>
        <w:rPr>
          <w:rFonts w:ascii="Times New Roman" w:hAnsi="Times New Roman"/>
          <w:sz w:val="20"/>
        </w:rPr>
        <w:t xml:space="preserve">If the distribution or certain related transactions failed to qualify for the Intended Tax Treatment, in general, for U.S. federal income tax purposes, WDC would recognize taxable gain as if it had sold the shares of our stock in a taxable sale for their fair market value and WDC stockholders that received shares of our stock in the distribution or receive shares of our stock in a clean-up distribution would be subject to tax as if they had received a taxable distribution equal to the fair market value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WDC and Sandisk could incur significant U.S. federal income tax obligations, whether under applicable law or under the tax matters agreement that we entered into with WDC. For a discussion of the tax matters agreement, see Certain Relationships and Related Party TransactionsMaterial Agreements with WDCTax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To preserve the tax-free treatment to WDC and its stockholders of the distribution and certain related transactions, under the tax matters agreement that we entered into with WDC, we are restricted from taking certain actions after the distribution that could adversely impact the intended U.S. federal income tax treatment of the distribution and such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To preserve the tax-free treatment to WDC and its stockholders of the distribution and certain related transactions, under the tax matters agreement that we entered into with WDC, we are restricted from taking certain actions after the distribution that could adversely impact the intended U.S. federal income tax treatment of the distribution, together with certain related transactions. Failure to adhere to any such restrictions, including in certain circumstances that may be outside of our control, could result in tax being imposed on WDC for which we could bear responsibility and for which we could be obligated to indemnify WDC. In addition, even if we are not responsible for tax liabilities of WDC under the tax matters agreement, we nonetheless could potentially be liable under applicable tax law for such liabilities if WDC were to fail to pay such taxes.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tax matters agreement, furthermore, restrict us from taking certain actions, particularly for the two years following the spin-off, including (among other things) the ability to freely issue stock, to merge or agree to merge with a third party, to be acquired or agree to be acquired by certain parties and to raise additional equity capital. Such restrictions could impair our ability to implement strategic initiatives. Also, any indemnity obligation to WDC might discourage, delay or prevent a change of control that we or our stockholders may otherwise consider favorable. These restrictions may limit our ability to enter into certain strategic transactions or other transactions that we may believe to be in the best interests of our stockholders or that might increase the value of our business. In addition, under the tax matters agreement, we are required to indemnify WDC against certain tax liabilities as a result of the acquisition of our stock or assets, even if we did not participate in or otherwise facilitate the acquisition. For a discussion of the tax matters agreement, see the section of this prospectus entitled Certain Relationships and Related TransactionsMaterial Agreements with WDCTax Matters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spin-off and related internal restructuring transactions may expose us to potential liabilities arising out of state and federal fraudulent conveyance laws and legal dividend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spin-off could be challenged under various state and federal fraudulent conveyance laws. Fraudulent conveyances or transfers are generally defined to include (a) transfers made or obligations incurred with the actual intent to hinder, delay or defraud current or future creditors or (b) transfers made or obligations incurred for less than reasonably equivalent value when the debtor was insolvent, or that rendered the debtor insolvent, inadequately capitalized or unable to pay its debts as they become due. A creditor or an entity acting on behalf of a creditor (including, without limitation, a trustee or debtor-in-possession in a bankruptcy by us or WDC or any of our or its respective subsidiaries) may bring a lawsuit alleging that the spin-off or any of the related transactions constituted a fraudulent conveyance. If a court accepts these allegations, it could impose a number of remedies, including, without limitation, voiding the distribution and returning our assets or shares and subjecting WDC and/or us to liability.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our common stock was also subject to state corporate distribution statutes. Under applicable Delaware law, including the DGCL, a corporation may only pay a distribution of common stock to its stockholders if (1) after giving effect to the consummation of the transaction (a) the assets of each company, at a fair valuation, exceed its respective debts (including contingent liabilities), (b) each company will be able to pay its respective debts (including contingent liabilities) as they become due and (c) neither company will have an unreasonably small amount of either assets or capital for the operations of the businesses in which it is engaged or in which management has indicated it intends to engage and (2) immediately prior to giving effect to the distribution and pursuant to Section 170 of the DGCL, the surplus of the company declaring the distribution exceeds the net amount of the distribution less any dividend paid to the company declaring the distribution. Although WDC made the distribution of our common stock entirely out of surplus and we and WDC obtained solvency opinions from an independent appraisal firm, we and WDC cannot ensure that a court would reach the same conclusion in determining the availability of surplus for the separation and the distribution to WDCs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 connection with the spin-off, certain of our executive officers and directors may have actual or potential conflicts of interest because of their previous positions at WDC. </w:t>
      </w:r>
    </w:p>
    <w:p>
      <w:pPr>
        <w:pStyle w:val="TextBody"/>
        <w:bidi w:val="0"/>
        <w:spacing w:before="120" w:after="0"/>
        <w:jc w:val="left"/>
        <w:rPr>
          <w:rFonts w:ascii="Times New Roman" w:hAnsi="Times New Roman"/>
          <w:sz w:val="20"/>
        </w:rPr>
      </w:pPr>
      <w:r>
        <w:rPr>
          <w:rFonts w:ascii="Times New Roman" w:hAnsi="Times New Roman"/>
          <w:sz w:val="20"/>
        </w:rPr>
        <w:t xml:space="preserve">Because of their current or former positions with WDC, certain of our executive officers and directors own equity interests in WDC. Following the spin-off, even though our board of directors currently consists of a majority of directors who are independent, and our executive officers who were employees of WDC prior to the completion of the spin-off ceased to be employees of WDC upon the spin-off, some of our executive officers and directors continue to have financial interests in shares of WDC common stock and equity awards. Specifically, each outstanding WDC equity award held by our employees at the level of vice president and above was converted into both a post-separation WDC award relating to shares of WDC common stock and a Sandisk award relating to shares of our common stock at the time of separation. Continuing ownership of shares of WDC common stock and equity awards could create, or appear to create, potential conflicts of interest if we and WDC pursue the same corporate opportunities or face decisions that could have different implications for us and WDC.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have received better terms from unaffiliated third parties than the terms we received in our agreements with WDC.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we entered into with WDC in connection with the spin-off, including the ancillary agreements, were prepared in the context of our spin-off from WDC while we were still a wholly owned subsidiary of WDC. Accordingly, during the period in which the terms of those agreements were prepared, we did not have a board of directors or management team that was independent of WDC. While the parties believe the terms reflect arms-length terms, there can be no assurance that we would not have received better terms from unaffiliated third parties than the terms we received in our agreements with WDC. For more information, see the section of this prospectus entitled Certain Relationships and Related TransactionsMaterial Agreements with WDC.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contracts and other assets which needed to be transferred or assigned from WDC or its affiliates to us in connection with our spin-off from WDC may require the consent of a third party. If such consent is not given, we may not be entitled to the benefit of such contracts and other assets in the future, which could adversely impact our financial condition and future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spin-off from WDC, a number of contracts and licenses with third parties and other assets were to be transferred or assigned from (x) WDC or its affiliates to us or our subsidiaries or (y) us or our affiliates to WDC or its subsidiaries. However, the transfer or assignment of certain of these contracts, licenses or assets may still require the consent of a third party to such a transfer or assignment. Similarly, in some circumstances, we and another business unit of WDC are joint beneficiaries of contracts, and we or WDC will need to (x) enter into a new agreement with the third party to replicate the existing contract, (y) be assigned and delegated the portion of the existing contract related to the applicable business or (z) use commercially reasonable efforts to provide for an alternative arrangement to obtain the same or reasonably similar benefits and burdens of the applicable portion of the existing contract. It is possible that some parties may use the requirement of a consent or the fact that the spin-off occurred to seek more favorable contractual terms from us, to terminate the contract or license or to otherwise request additional accommodations, commitments or other agreements from us. If we are unable to obtain such consents on commercially reasonable and satisfactory terms or if the contracts are terminated, we may be unable to obtain the benefits, assets and contractual commitments which are intended to be allocated to us as part of our spin-off from WDC. The failure to timely complete the assignment of existing contracts, licenses or assets, or the negotiation of new arrangements, or a termination of any of those arrangements, could have a material adverse impact on our financial condition and future results of operations. To the extent we require a specific arrangement and agree to less favorable terms in connection with obtaining any consent to retain that arrangement, the basis for that arrangement may be less favorable than previously held by us and could adversely impact our financial conditions and future results of operations. In addition, where we do not intend to obtain consent from third-party counterparties based on our belief that no consent is required, the third-party counterparties may challenge a transfer of assets on the basis that the terms of the applicable commercial arrangements require the third-party counterparties consent. We may incur substantial litigation and other costs in connection with any such claims and, if we do not prevail, our ability to use these assets could be materially and adversely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cash flow from operations is less than we anticipate, or if our cash requirements are more than we expect, we may require additional access to capital and may need to incur additional debt or raise additional funds. </w:t>
      </w:r>
    </w:p>
    <w:p>
      <w:pPr>
        <w:pStyle w:val="TextBody"/>
        <w:bidi w:val="0"/>
        <w:spacing w:before="120" w:after="0"/>
        <w:jc w:val="left"/>
        <w:rPr>
          <w:rFonts w:ascii="Times New Roman" w:hAnsi="Times New Roman"/>
          <w:sz w:val="20"/>
        </w:rPr>
      </w:pPr>
      <w:r>
        <w:rPr>
          <w:rFonts w:ascii="Times New Roman" w:hAnsi="Times New Roman"/>
          <w:sz w:val="20"/>
        </w:rPr>
        <w:t xml:space="preserve">If our cash flow from operations is less than we anticipate, or if our cash requirements are more than we expect, we may require additional access to capital and may need to incur additional debt or raise additional funds. However, debt or equity financing may not be available to us on terms acceptable or favorable to us, if at all, and will depend on a number of factors, many of which are beyond our control, such as the state of the credit and financial markets and other economic, financial and geopolitical factors. If we incur additional debt or raise capital through the issuance of preferred stock, the terms of the debt or preferred stock issued may give the holders thereof rights, preferences and privileges senior to those of holders of our common stock, particularly in the event of liquidation. The terms of such debt may also impose additional and more stringent restrictions on our operations than we are currently subject to. If we raise funds through the issuance of additional equity, your percentage ownership in us would be diluted. If we are unable to raise additional capital when needed, it could affect our financial condition, which could adversely impact your investment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share certain directors with WDC, which overlap may give rise to conflicts. </w:t>
      </w:r>
    </w:p>
    <w:p>
      <w:pPr>
        <w:pStyle w:val="TextBody"/>
        <w:bidi w:val="0"/>
        <w:spacing w:before="120" w:after="0"/>
        <w:jc w:val="left"/>
        <w:rPr>
          <w:rFonts w:ascii="Times New Roman" w:hAnsi="Times New Roman"/>
          <w:sz w:val="20"/>
        </w:rPr>
      </w:pPr>
      <w:r>
        <w:rPr>
          <w:rFonts w:ascii="Times New Roman" w:hAnsi="Times New Roman"/>
          <w:sz w:val="20"/>
        </w:rPr>
        <w:t xml:space="preserve">There is an overlap between certain of our directors and directors of WDC. Shared directors may have actual or apparent conflicts of interest with respect to matters involving or affecting each of WDC and Sandisk. For example, there is a potential for a conflict of interest when we on the one hand, and WDC and its respective subsidiaries and successors on the other hand, are party to commercial transactions concerning the same or adjacent investments. In addition, certain of our directors continue to own shares or equity awards of WDC. These ownership interests could create actual, apparent or potential conflicts of interest when these individuals are faced with decisions that could have different implications for our company and WDC. See Certain Relationships and Related Party TransactionsProcedures for Approval of Related Person Transactions for a discussion of certain procedures we institute to help ameliorate such potential conflicts that may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separation may result in disruptions to relationships with customers, suppliers and other business partners. </w:t>
      </w:r>
    </w:p>
    <w:p>
      <w:pPr>
        <w:pStyle w:val="TextBody"/>
        <w:bidi w:val="0"/>
        <w:spacing w:before="120" w:after="0"/>
        <w:jc w:val="left"/>
        <w:rPr>
          <w:rFonts w:ascii="Times New Roman" w:hAnsi="Times New Roman"/>
          <w:sz w:val="20"/>
        </w:rPr>
      </w:pPr>
      <w:r>
        <w:rPr>
          <w:rFonts w:ascii="Times New Roman" w:hAnsi="Times New Roman"/>
          <w:sz w:val="20"/>
        </w:rPr>
        <w:t xml:space="preserve">While we intend to manage our operations to minimize any disruptions to our customers, suppliers and business partners, uncertainty related to the separation may nevertheless lead to disruption in those relationships. These disruptions, if not managed by us, could have an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make, on a timely or cost-effective basis, the changes necessary to operate as an independent company. </w:t>
      </w:r>
    </w:p>
    <w:p>
      <w:pPr>
        <w:pStyle w:val="TextBody"/>
        <w:bidi w:val="0"/>
        <w:spacing w:before="120" w:after="0"/>
        <w:jc w:val="left"/>
        <w:rPr>
          <w:rFonts w:ascii="Times New Roman" w:hAnsi="Times New Roman"/>
          <w:sz w:val="20"/>
        </w:rPr>
      </w:pPr>
      <w:r>
        <w:rPr>
          <w:rFonts w:ascii="Times New Roman" w:hAnsi="Times New Roman"/>
          <w:sz w:val="20"/>
        </w:rPr>
        <w:t xml:space="preserve">To operate as an independent company, we rely on WDC to provide certain transitional services, including with respect to the functionality and reliability of our information technology systems. We need additional personnel or third-party service providers to successfully operate our business. We entered into a transition services agreement with WDC pursuant to which we provide certain services to WDC, and WDC provides certain services to us, to allow us to continue to operate in substantially the same manner following the separation and to benefit from the continuation of certain services for a certain amount of time post-separation and certain cost efficiencies in sharing certain resources and personnel. We cannot assure you that we will be able to continue to successfully implement the infrastructure or retain or hire the personnel necessary to operate as a separate company or that we will not incur costs in excess of anticipated costs to establish such infrastructure and retain or hire such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stock price may fluctuate significantly, which may make it difficult for you to resell the common stock when you want or at prices you find attractive.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common stock may fluctuate significantly due to a number of factors, some of which may be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profile, market capitalization or capital allocation policies may not fit the investment objectives of pre-spin-off WDC stockholders, causing a shift in our investor base and our common stock may not be included in some indices in which WDC common stock is included, causing certain holders to sell their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quarterly or annual earnings, or those of other companies in its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securities analysts to cover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earnings estimates by securities analysts or our ability to meet those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forward looking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and stock price performance of other comparable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market fluctuations and domestic and worldwide economic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described in these Risk Factors and elsewhere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Stock markets in general have experienced volatility that has often been unrelated to the operating performance of a particular company. Broad market and industry factors may materially harm the market price of our common stock, regardless of our operating performance. In the past, following periods of volatility in the market price of a companys securities, shareholder derivative lawsuits and/or securities class action litigation has often been instituted against such company. Such litigation, if instituted against us, could result in substantial costs and a diversion of managements attention and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investors may have difficulty accurately valuing our common stock. Investors often value companies based on the stock prices and results of operations of other comparable companies. Investors may find it difficult to find comparable companies and to accurately value our common stock, which may cause the trading price of our common stock to fluctuate.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selling stockholder owns 28,827,787 shares of our common stock. We are registering on a registration statement on Form S-1, of which this prospectus forms a part, such shares under the terms of a stockholders and registration rights agreement between us and the selling stockholder. The sale of such shares in one or more offerings may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Any sales of substantial amounts of our common stock in the public market or the perception that such sales might occur, in connection with this offering or otherwise, may cause the market price of our common stock to decline. Upon completion of the offering, we will continue to have an aggregate of approximately 145 million shares of our common stock issued and outstanding. The shares of our common stock will be freely tradeable without restriction or further registration under the Securities Act of 1933, as amended (the Securities Act), unless the shares are owned by one of our affiliates, as that term is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distribution, WDC, the selling stockholder, retained 19.9% of our common stock and may have adverse tax consequences if that stake is not disposed of within 12 months of the distribution. WDC will dispose of such shares of our common stock that it owns after the distribution through one or more subsequent exchanges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common stock for WDC debt held by WDC creditors and/or through distributions of our common stock to WDC stockholders as dividends or in exchange for outstanding shares of WDC common stock, in each case during the 12-month period following the distribution. Any disposition by WDC, or any significant stockholder, of our common stock, or the perception that such dispositions could occur, could adversely affect prevailing market prices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percentage of ownership in us may be diluted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Your percentage ownership in us may be diluted because of equity issuances for acquisitions, capital market transactions or otherwise, including, without limitation, equity awards that we may grant to our directors, officers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our common stock. See the section entitled Description of Sandisk Corporation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of Delaware law, our certificate of incorporation and our bylaws may prevent or delay an acquisition of our company, which could decrease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our certificate of incorporation and our bylaws each contain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regarding the election of directors, classes of directors, the term of office of directors and the filling of director vacancies;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directors either with or without cause, by the affirmative vote of the stockholders then entitled to vote at an election of directors having a majority of the voting power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has the authority to determine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 thereof then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director nominations and actions to be taken at annual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bylaws may be altered, amended or repealed, and new bylaws may be adopted, (i) by our board of directors, by vote of a majority of the number of directors then in office as directors, acting at any duly called and held meeting of our board of directors, or (ii) by our stockholders; provided that notice of such proposed amendment, modification, repeal or adoption is given in the notice of special meeting. To the extent permitted by law, any bylaws made or altered by the stockholders may be altered or repealed by either our board of directors or the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Public stockholders who might desire to participate in these types of transactions may not have an opportunity to do so, even if the transaction is considered favorable to stockholders. These anti-takeover provisions could substantially impede the ability of public stockholders to benefit from a change in control or a change in our management and board of directors and, as a result, may adversely affect the market price of our common stock and your ability to realize any potential change of control premium.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Section 203 of the DGCL. Section 203 of the DGCL protects publicly traded Delaware corporations, such as us following the distribution, from hostile takeovers and from actions following a hostile takeover, by prohibiting some transactions once a potential acquirer has gained a significant holding in the corporation.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date, the board of directors of such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voting stock of such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of such corporation and authorized at an annual or special meeting of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Section 203 of the DGCL, a business combination includes a merger, asset sale or other transaction resulting in a financial benefit to the interested stockholder, with an interested stockholder being defined as a person who, together with affiliates and associates, owns (or who is an affiliate or associate of the corporation and did own within three years prior to the date of determination whether the person is an interested stockholder)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A corporation may elect not to be governed by Section 203 of the DGCL. Neither our certificate of incorporation nor our bylaws contains the election not to be governed by Section 203 of the DGCL. Therefore, we are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We believe these provisions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and could delay or prevent an acquisition that our board of directors determines is not in the best interests of us and our stockholders. These provisions may also prevent or discourage attempts to remove and replace incumbent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certificate of incorporation contains an exclusive forum provision that could limit a stockholders ability to bring a claim in a judicial forum that the stockholder believes is favorable for such disputes and may discourage lawsuits against us and any of our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forum, the Court of Chancery of the State of Delaware (or the federal district court in the State of Delaware if the Court of Chancery does not have subject matter jurisdiction) is the sole and exclusive forum for (i) any derivative action brought on our behalf, (ii) any action asserting a claim of breach of a fiduciary duty owed by any of our current or former director, officer or other employee or our stockholders, (iii) any action asserting a claim arising pursuant to any provision of the Delaware General Corporation Law or our certificate of incorporation or bylaws or (iv) any action asserting a claim governed by the internal affairs doctrine (the Delaware Exclusive Forum Provision). Our certificate of incorporation further provides that, unless we consent in writing to the selection of an alternative forum, the federal district courts of the United States of America shall be, to the fullest extent permitted by law, the exclusive forum for resolving any complaint asserting a cause of action under the Securities Act (the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Delaware Exclusive Forum Provision is intended to apply to claims arising under Delaware state law and would not apply to claims brought pursuant to the Securities Exchange Act of 1934, as amended (the Exchange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we included in our certificate of incorporation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are not deemed to have waived our compliance with these laws,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exclusive forum provisions we included in our certificate of incorporation may limit a stockholders ability to bring a claim in a judicial forum of its choosing for disputes with the company or its directors, officers or other employees, which may discourage lawsuits against us and our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us than to our stockholders. Further, the enforceability of similar exclusive forum provisions in other companies 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price of WDCs common stock historically has been volatile, and the price of our common stock may be volatile as well. This volatility may affect the price at which you could sell your common stock, and the sale of substantial amounts of our common stock could adversely affect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WDCs common stock has been volatile, and the price of our common stock may also be volatile. This volatility may affect the price at which you could sell your common stock. Our stock price may be subject to significant price and volume fluctuations in response to market and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operating results, including those resulting from the seasonality and cyclicality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perceptions about our strategic relationships and joint ventures, access to supply of NAND flash memory, new technologies and technology transitions;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technological innovations by us or our competitors, which may decrease the volume and profitability of sales of our existing products and increase the risk of inventory obsolescence;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products introduced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us or competitors, such as acquisitions and restructurings;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responses to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periods of severe pricing pressures due to oversupply or price erosion resulting from competitive pressures or industry consolidation;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with respect to patents or proprietary rights, and any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proposed or adopted regulatory changes or developments or anticipated or pending investigations, proceedings or litigation that involve or affect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and trends in the flash memory, computer, mobile, data and content management, storage and communication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contraction in our operating results or growth rates that are lower than our previous high growth rate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analysts revenue or earnings estimates or changes in financial estimates or publication of research reports and recommendations by financial analysts relating specifically to us or the storage industry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relating to dividends and share repurchases;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conditions that affect the market generally and, in particular, developments related to market conditions for our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Securities class action lawsuits are often brought against companies after periods of volatility in the market price of their securities, and any such lawsuits filed against us could result in substantial costs and a diversion of resources and managements attention.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 matters may materially affect our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Changes in tax laws in the United States, the European Union and around the globe have impacted and will continue to impact our effective worldwide tax rate, which may materially affect our financial position and results of operations. Further, the majority of countries in the G20 and Organization for Economic Cooperation and Development Inclusive Framework on Base Erosion and Profit Shifting have agreed to adopt a two-pillar approach to taxation, which includes the implementation of a global corporate minimum tax rate of 15%, which when effective could materially increase our tax obligations in these countries. Due to the large scale of our U.S. and international business activities, many of these enacted and proposed changes to the taxation of our activities, including cash movements, could increase our worldwide effective tax rate and harm our business. The Tax Cuts and Jobs Act of 2017 eliminated the option to deduct research and development expenditures in the year incurred, requiring amortization in accordance with Section 174 of the Internal Revenue Code. Depending on our operating results, this requirement could materially increase our effective tax rate and reduce our operating cash flows.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Our determination of our tax liability in the U.S. and other jurisdictions is subject to review by applicable domestic and foreign tax authorities.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of our current estimate of unrecognized tax benefits and may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downgrade their recommendations regarding our common stock,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is influenced by the research and reports that industry or securities analysts publish about us or our business. If any of the analysts who may cover us downgrade our common stock or publish inaccurate or unfavorable research about our business, our common stock price may decline. If analysts cease coverage of us or fail to regularly publish reports on us, we could lose visibility in the financial markets, which in turn could cause our common stock price or trading volume to decline and our common stock to be less liquid.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joint venture agreements with Kioxia may deter, prevent or delay an acquisition of us, which could decrease the market price of our common stock and limit our future strategic opportunities. </w:t>
      </w:r>
    </w:p>
    <w:p>
      <w:pPr>
        <w:pStyle w:val="TextBody"/>
        <w:bidi w:val="0"/>
        <w:spacing w:before="120" w:after="0"/>
        <w:jc w:val="left"/>
        <w:rPr>
          <w:rFonts w:ascii="Times New Roman" w:hAnsi="Times New Roman"/>
          <w:sz w:val="20"/>
        </w:rPr>
      </w:pPr>
      <w:r>
        <w:rPr>
          <w:rFonts w:ascii="Times New Roman" w:hAnsi="Times New Roman"/>
          <w:sz w:val="20"/>
        </w:rPr>
        <w:t xml:space="preserve">The joint venture agreements with Kioxia contain provisions that may deter, prevent or delay third parties from acquiring us. These provisions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limiting our ability and the ability of any of our affiliates to manufacture or have a third party fabricate flash memory outside of Flash Ventures Yokkaichi and Kitakami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limiting our ability and the ability of any of our affiliates to fabricate flash memory beyond our share of Flash Ventures manufacturing capacity;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limiting our ability to transfer equity in the Flash Ventures entities or their assets, particularly partial transfers.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nevertheless wanted to pursue a transaction providing for our acquisition by a third party, the provisions in our joint venture agreements with Kioxia could deter, prevent or delay a potential acquiror from pursuing such a transaction, even if the transaction is considered favorable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seek a waiver of applicable provisions of the joint venture agreements from Kioxia or Kioxias consent with respect to such a transaction, but there is no guarantee that we will successfully obtain Kioxias consent or waiver.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in our joint venture agreements with Kioxia could substantially impede the ability of public stockholders to benefit from future strategic transactions, including an acquisition of Sandisk and, as a result, may adversely affect the market price of our common stock and your ability to realize any potential change of control premium.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934557_4"/>
      <w:bookmarkEnd w:id="6"/>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other materials Sandisk has filed with the SEC contain forward-looking statements within the meaning of the federal securities laws. These forward-looking statements include, but are not limited to, statements related to operating as an independent company, our product and technology developments and all statements regarding our expected future position, results of operations, cash flows, dividends, financing plans, business strategy, budgets, capital expenditures, competitive positions, growth opportunities, plans and objectives of management, and statements containing the use of forward-looking words, such as may, will, could, would, should, project, believe, anticipate, expect, estimate, continue, potential, plan, forecast, approximate, intend, upside, target, intend, and the like, or the use of future tense of these or similar words. Statements contained herein related to operating as an independent company, our business outlook or future economic performance, anticipated profitability, revenues, expenses, dividends or other financial items, products or services line growth of Sandisk, and predicted market outcomes, together with other statements that are not historical facts, are forward-looking statements that are estimates reflecting our best judgment based upon currently available information. Statements concerning current conditions may also be forward-looking if they imply a continuation of current conditions.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are inherently uncertain, and stockholders and other potential investors must recognize that actual results may differ materially from our expectations as a result of a variety of factors, including, without limitation, those discussed below. These forward-looking statements are based upon managements current expectations and include known and unknown risks, uncertainties and other factors, many of which we are unable to predict or control, that may cause actual results, performance or plans to differ materially from those expressed or implied by such forward-looking statements, including: adverse changes in global or regional conditions, including the impact of changes in tariff policies or other trade restrictions; supply chain risks, including our dependence on a limited number of qualified suppliers, the availability and cost of materials and components for our products, and disruptions to our supply chain; damage or disruption to our operations or to those of our suppliers; product defects; our reliance on strategic relationships with key partners, including Kioxia; the development and introduction of new products or technologies and management of technology transitions; future responses to and effects of public health crises; loss of revenue from, or consolidation of, our key customers or increases in our customers credit risk; volatile demand and pricing trends and fluctuations in average selling prices; our ability to respond to market and other changes in our distribution and retail market; sales cyclicality and our ability to accurately forecast demand; our level of debt; fluctuations in currency exchange rates; hiring and retention of key employees; risks associated with legal or regulatory compliance, changing legal and regulatory requirements, and the impact and outcome of legal proceedings; compromise, damage or interruptions from cybersecurity incidents or other data or system security risks; reliance on intellectual property and other proprietary information; future material impairments in the value of our goodwill, intangible assets and other long-lived assets; our ability to achieve some or all of the expected benefits of the spin-off and uncertainties regarding the impacts of the spin-off, including indemnification responsibilities and tax-related considerations; our historical and pro forma financial information is not necessarily representative of the results that we would have achieved as a separate publicly traded company; uncertainties regarding potential impairments to goodwill and long-lived assets; whether there will be an active trading market for our common stock; and other risks and uncertainties listed under the sections entitled Summary of the Separation and Distribution, Risk Factors, Managements Discussion and Analysis of Financial Condition and Results of Operations, Business, and The Separation and Distribution. You are cautioned not to place undue reliance on these forward-looking statements, which speak only as of the date hereof. We do not intend, and we undertake no obligation, to update or revise these forward-looking statements to reflect new information or events after the date hereof or to reflect the occurrence of unanticipated events,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934557_5"/>
      <w:bookmarkEnd w:id="7"/>
      <w:r>
        <w:rPr>
          <w:rFonts w:ascii="Times New Roman" w:hAnsi="Times New Roman"/>
          <w:b/>
          <w:sz w:val="20"/>
        </w:rPr>
        <w:t xml:space="preserve">THE SEPARATION AND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October 30, 2023, WDC announced its intention to separate its Flash Business from its HDD Business. WDC determined to implement this separation through the spin-off of WDCs Flash Business to its stockholders. Sandisk was formed to hold WDCs Flash Business. Following the separation, we hold the assets and liabilities of WDC related to its Flash Business, subject to certain limited exceptions. After the separation, WDC continues to hold its HDD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25, 2025, the WDC Board of Directors approved the distribution of 80.1% of Sandisks issued and outstanding shares of common stock held by WDC to WDC stockholders on the basis of one share of our common stock for every three shares of WDC common stock held as of 1:00 p.m. Pacific time on February 12, 2025, the Record Date for the distribution,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the distribution was effected and the separation became effective as of 11:59 p.m. Pacific time. To effect the separation, WDC undertook a series of internal restructuring transactions to separate the assets, liabilities and certain legal entities of WDC associated with the Flash Business to us, in exchange for a cash payment of approximately $1.5 billion by us to WDC with a portion of the net proceeds of the Term Loan Facility as further described below under Financing Transactions. In connection with the distribution, we incurred $2.0 billion of indebtedness. In conjunction with the separation, 116,035,464 shares of our common stock were distributed to WDC stockholders, as described below. Additionally, WDC retained 28,827,787 shares of our common stock representing its 19.9% retained interest. Regular-way trading of our common stock began with the opening of the Nasdaq on February 24, 2025, under the ticker symbol SNDK. Our common stock has a par value of $0.01 per share.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the distribution date, each WDC stockholder of record as of the Record Date received one share of our common stock for every three shares of WDC common stock held as of the Record Date, as described below. WDC stockholders received cash in lieu of any fractional shares of Sandisk common stock that they would have received after application of this ratio. Upon completion of the separation, each WDC stockholder as of the Record Date continued to own shares of WDC and owned a proportionate share of the outstanding common stock of Sandisk distributed in the distribution. WDC stockholders were not required to make any payment, surrender or exchange their WDC common stock or take any other action to receive their shares of our common stock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distribution, our stockholders (other than WDC) own directly 80.1% of the outstanding shares of our common stock and WDC retained 19.9% of the outstanding shares of our common stock. WDC (the selling stockholder named herein) intends to dispose of all of our common stock that it retains through one or more subsequent exchanges of our common stock for WDC debt held by WDC creditors and/or through distributions of our common stock to WDC stockholders as dividends or in exchange for outstanding shares of WDC common stock, in each case during the 12-month period following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on a registration statement on Form S-1, of which this prospectus forms a part, the shares retained by WDC under the terms of a stockholders and registration rights agreement between us and the selling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Formation of Sandisk Corporation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separation, WDC incorporated Sandisk as a Delaware corporation on February 5, 2024, for the purpose of transferring to Sandisk certain assets and liabilities, including certain entities holding assets and liabilities, associated with the Flash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Internal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and prior to the distribution, WDC and its subsidiaries completed an internal reorganization in order to transfer to us the Flash Business that we hold following the separation. Among other things and subject to certain limited exceptions, the internal reorganization resulted in us owning, directly or indirectly, the operations comprising, and the entities that conduct, the Flash Business. </w:t>
      </w:r>
    </w:p>
    <w:p>
      <w:pPr>
        <w:pStyle w:val="TextBody"/>
        <w:bidi w:val="0"/>
        <w:spacing w:before="240" w:after="0"/>
        <w:jc w:val="left"/>
        <w:rPr>
          <w:rFonts w:ascii="Times New Roman" w:hAnsi="Times New Roman"/>
          <w:sz w:val="20"/>
        </w:rPr>
      </w:pPr>
      <w:r>
        <w:rPr>
          <w:rFonts w:ascii="Times New Roman" w:hAnsi="Times New Roman"/>
          <w:sz w:val="20"/>
        </w:rPr>
        <w:t xml:space="preserve">The internal reorganization included a series of restructuring transactions pursuant to which (i) WDC and its subsidiaries transferred the assets and liabilities associated with the Flash Business to Sandisk or certain entities which became its subsidiaries and transferred the equity interests of certain entities holding such assets and liabilities to Sandisk and (ii) Sandisk and its subsidiaries transferred the assets and liabilities associated with the HDD Business that are held by our subsidiaries, if any, to WDC or its subsidiaries, in each case, as set forth in the separation and distribution agreement. WDC and its subsidiaries also transferred certain other corporate and shared assets and liabilities to Sandisk (or certain entities which became its subsidiaries) and Sandisk and its subsidiaries also transferred certain other corporate and shared assets and liabilities to WDC or its subsidiaries, in each case, pursuant to the terms of the separation and distribution agreement. In exchange for the transfer of the foregoing assets, liabilities and legal entities associated with the Flash Business to us, we paid WDC a cash payment in an amount equal to approximately $1.5 billion. Following such internal reorganization transaction, WDC continued to hold the HDD Business. We also entered into certain financing arrangements and incurred certain indebtedness prior to and in connection with the separation. See the section of this prospectus entitled Description of Material Indebtedness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separation and the distribution, we became a separate,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 separation and distribution agreement and other related agreements with WDC to effect the separation and provide a framework for our transitional relationship with WDC following the separation. These agreements provide for the allocation between us and WDC of WDCs assets, liabilities and obligations (including employee benefits, intellectual property, equipment sharing and tax-related assets and liabilities) attributable to periods prior to our separation from WDC and govern the relationship between us and WDC following the separation. For a more detailed description of these agreements, see Certain Relationships and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Market for Sandisk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SNDK. We did not set the initial price of shares of our common stock. The initial price was established by the public markets. </w:t>
      </w:r>
    </w:p>
    <w:p>
      <w:pPr>
        <w:pStyle w:val="TextBody"/>
        <w:bidi w:val="0"/>
        <w:spacing w:before="240" w:after="0"/>
        <w:jc w:val="left"/>
        <w:rPr>
          <w:rFonts w:ascii="Times New Roman" w:hAnsi="Times New Roman"/>
          <w:sz w:val="20"/>
        </w:rPr>
      </w:pPr>
      <w:r>
        <w:rPr>
          <w:rFonts w:ascii="Times New Roman" w:hAnsi="Times New Roman"/>
          <w:sz w:val="20"/>
        </w:rPr>
        <w:t xml:space="preserve">The price at which shares of our common stock trade may fluctuate significantly, particularly until an orderly public market develops. Trading prices for our common stock will be determined in the public markets and may be influenced by many factors. See Risk FactorsRisks Related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Incurrence of Debt </w:t>
      </w:r>
    </w:p>
    <w:p>
      <w:pPr>
        <w:pStyle w:val="TextBody"/>
        <w:bidi w:val="0"/>
        <w:spacing w:before="120" w:after="0"/>
        <w:jc w:val="left"/>
        <w:rPr>
          <w:rFonts w:ascii="Times New Roman" w:hAnsi="Times New Roman"/>
          <w:sz w:val="20"/>
        </w:rPr>
      </w:pPr>
      <w:r>
        <w:rPr>
          <w:rFonts w:ascii="Times New Roman" w:hAnsi="Times New Roman"/>
          <w:sz w:val="20"/>
        </w:rPr>
        <w:t xml:space="preserve">On February 21, 2025, we entered into the Loan Agreement. The Loan Agreement comprises the Term Loan Facility in the principal amount of $2.0 billion and the Revolving Credit Facility in the principal amount of $1.5 billion. On February 21, 2025, we borrowed $2.0 billion under the Term Loan Facility. There were no amounts outstanding as of April 30, 2025 under the Revolving Credit Facility. For a more detailed description of the Facilities, see the section of this prospectus entitled Description of Material Indebtedness on page 150.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934557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our common stock sold pursuant to this prospectus will be offered and sold by the selling stockholder. We will not receive any proceeds from such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934557_7"/>
      <w:bookmarkEnd w:id="9"/>
      <w:r>
        <w:rPr>
          <w:rFonts w:ascii="Times New Roman" w:hAnsi="Times New Roman"/>
          <w:b/>
          <w:sz w:val="20"/>
        </w:rPr>
        <w:t xml:space="preserve">MARKET PRICE OF SHARES </w:t>
      </w:r>
    </w:p>
    <w:p>
      <w:pPr>
        <w:pStyle w:val="TextBody"/>
        <w:bidi w:val="0"/>
        <w:spacing w:before="240" w:after="0"/>
        <w:jc w:val="left"/>
        <w:rPr>
          <w:rFonts w:ascii="Times New Roman" w:hAnsi="Times New Roman"/>
          <w:sz w:val="20"/>
        </w:rPr>
      </w:pPr>
      <w:r>
        <w:rPr>
          <w:rFonts w:ascii="Times New Roman" w:hAnsi="Times New Roman"/>
          <w:sz w:val="20"/>
        </w:rPr>
        <w:t xml:space="preserve">Our shares of common stock have been listed and traded on the Nasdaq under the symbol SNDK since February 24, 2025, which was the next trading day following the distribution. On April 30, 2025 the last sale price of our shares as reported on the Nasdaq was $32.11 per share. As of April 30, 2025, there were approximately 684 holders of record of our shares. Because many of our shares are held by brokers and other institutions on behalf of stockholders, we are unable to estimate the total number of stockholders represented by these recordholders.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934557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intend to pay any cash dividends in the foreseeable future. We currently intend to retain all available funds and future earnings, if any, for the operation of our business and to strengthen our financial position and flexibility. The payment of cash dividends in the future will be dependent upon our revenue and earnings, capital requirements and general financial condition and results of operations, as well as applicable law, regulatory constraints, industry practice and other business considerations determined by our board of directors to be relevant. The payment of any cash dividends will be within the discretion of our Board of Directors. In addition, the terms governing our current or future debt may also limit or prohibit dividend payments. Accordingly, we cannot guarantee that we will ever pay dividends in the future or that we would continue to pay any dividends that we may commence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934557_9"/>
      <w:bookmarkEnd w:id="11"/>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give effect to the spin-off and related adjustments in accordance with Article 11 of the SECs Regulation S-X, as amended. The spin-off and related transactions are described in the section of this prospectus entitled The Separation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consist of the unaudited pro forma condensed combined balance sheet as of December 27, 2024, and the unaudited pro forma condensed combined statement of operations for the six months ended December 27, 2024 and for the fiscal year ended June 28, 2024.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and Sandisks combined financial statements and notes thereto included in this prospectus shall mean the Flash Business of Western Digital Corporation and references to Parent or WDC shall mean Western Digital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reflect adjustments to our historical unaudited combined balance sheet as of December 27, 2024, and our historical unaudited combined statement of operations for the six months ended December 27, 2024 and audited combined statement of operations for the fiscal year ended June 28, 2024. The unaudited pro forma condensed combined balance sheet as of December 27, 2024, gives effect to the spin-off and related transactions, described below, as if they occurred on December 27, 2024. The unaudited pro forma condensed combined statement of operations for the six months ended December 27, 2024 and for the fiscal year ended June 28, 2024, gives effect to the spin-off and related transactions as if they had occurred on July 1, 2023, the beginning of our most recently completed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prepared to include Financing / Capitalization Adjustments and Spin-off Adjustments, collectively Transaction Accounting Adjustments and Autonomous Entity Adjustments to reflect our financial condition and results of operations as if we were a separate standalone public company. The unaudited pro forma combined financial statements have been adjusted to give effect to the following (collectively, the Pro Forma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contribution of the assets and liabilities that comprise our business by WDC to us pursuant to the separation and distribution agreement and the retention by WDC of certain specified assets and liabilities reflected in our historical combined financial statements, in each case, pursuant to the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our post-spin-off capital structure, including the incurrence of indebtedness in an aggregate principal amount equal to approximately $2.0 billion pursuant to the debt financing transactions and the application of the net proceeds from the debt financing transactions as described in the section of this prospectus entitled Description of Material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one-time expenses associated with the spin-off and related transactions and the transition to becoming a standalone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ancillary agreements and the provisions contained therein (see Material Agreements with WDC within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adjustments as described in the accompanying notes to the unaudited pro forma condensed combined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September 28, 2024, a wholly owned subsidiary of Sandisk completed the sale of 80% of its equity interest in the SDSS Venture. Following the closing of this transaction, Sandisk will account for its retained investment in the SDSS Venture under the equity method of accounting. The SDSS Venture and its associated results of operations are included within Sandisks historical combined financial statements. As the divestiture is not significant to Sandisk and impacts to our cost of inventory and gross profit margins are not expected to be material, we have not adjusted the unaudited pro forma condensed combined financial information herein. See Note 9, Related Parties and Related Commitments and Contingencies in the Notes to the unaudited Combined Financial Statements 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entered into an intellectual property cross license agreement and transitional trademark license agreement with WDC in connection with the spin-off transaction. As the intellectual property cross license agreement provides a royalty-free license and any royalty fees due under the trademark license agreement would not commence until up to 18 months after the effective date of the spin-off, we have not adjusted the unaudited pro forma condensed combined financial information herein.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are subject to the assumptions and adjustments described in the accompanying notes. The pro forma adjustments are based on available information and assumptions we believe are reasonable; however, such adjustments are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for illustrative and informational purposes only. The unaudited pro forma condensed combined financial information may not necessarily reflect what our financial condition, results of operations or cash flows would have been had we been a standalone public company during the periods presented, or what our financial condition, results of operations and cash flows may be in the future. In addition, the unaudited pro forma condensed combined financial information has been derived from our historical combined financial statements, which have been prepared from WDCs historical accounting records. All the allocations and estimates in our historical combined financial statements are based on assumptions that management believes are reasonable.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combined financial statements, which were the basis for the unaudited pro forma condensed combined financial information, were prepared on a carve-out basis as we did not operate as a separate, independent company for the periods presented. Accordingly, such financial information reflects an allocation of certain corporate costs, such executive management, finance, tax, legal, information technology, employee benefits administration, treasury, risk management, procurement and other shared services. These corporate expenses have been allocated to Sandisk based upon direct usage or benefit, where identifiable, with the remainder allocated based upon headcount, revenue or other relevant measures. See Note 1, Basis of Presentation and Note 9, Related Parties and Related Commitments and Contingencies to the audited combined financial statements included elsewhere in this prospectus for further information on the allocation of corporate costs. </w:t>
      </w:r>
    </w:p>
    <w:p>
      <w:pPr>
        <w:pStyle w:val="TextBody"/>
        <w:bidi w:val="0"/>
        <w:spacing w:before="240" w:after="0"/>
        <w:jc w:val="left"/>
        <w:rPr>
          <w:rFonts w:ascii="Times New Roman" w:hAnsi="Times New Roman"/>
          <w:sz w:val="20"/>
        </w:rPr>
      </w:pPr>
      <w:r>
        <w:rPr>
          <w:rFonts w:ascii="Times New Roman" w:hAnsi="Times New Roman"/>
          <w:sz w:val="20"/>
        </w:rPr>
        <w:t xml:space="preserve">We incur incremental costs as a standalone public company related to certain expenses previously allocated from WDC. Our historical combined financial statements include allocations for certain costs of support functions that are provided on a centralized or geographic basis by WDC and its affiliates, which include executive management, finance, tax, legal, information technology, employee benefits administration, treasury, risk management, procurement and other shared services. Additionally, we incurred charges from contracts with vendors in relation to the separation of Sandisk as a standalone public company. These charges primarily relate to legal, audit and advisory fees, system implementation costs, business separation costs and other costs. We also incur new costs relating to our public reporting and compliance obligations as a standalone public company. Any shortfall of required resource needs are and will be filled through external hiring or are and will be supported by WDC through the transition services agreement. These incremental costs began to materialize on the date of the completion of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Adverse effects and limitations, including those discussed in the section of this prospectus entitled Risk Factors, may impact the actual costs incurred. We are in process of evaluating the extent and timing of such costs to be incurred as a standalone public company and accordingly have not reflected any management adjustments for such costs within the unaudited condensed combined pro forma financial information presented below.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reported below should be read in conjunction with the section of this prospectus entitled Managements Discussion and Analysis of Financial Condition and Results of Operations and the historical combined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27, 2024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10250" w:type="dxa"/>
        <w:jc w:val="center"/>
        <w:tblInd w:w="0" w:type="dxa"/>
        <w:tblLayout w:type="fixed"/>
        <w:tblCellMar>
          <w:top w:w="0" w:type="dxa"/>
          <w:left w:w="0" w:type="dxa"/>
          <w:bottom w:w="0" w:type="dxa"/>
          <w:right w:w="0" w:type="dxa"/>
        </w:tblCellMar>
      </w:tblPr>
      <w:tblGrid>
        <w:gridCol w:w="1160"/>
        <w:gridCol w:w="120"/>
        <w:gridCol w:w="221"/>
        <w:gridCol w:w="1074"/>
        <w:gridCol w:w="155"/>
        <w:gridCol w:w="60"/>
        <w:gridCol w:w="289"/>
        <w:gridCol w:w="1156"/>
        <w:gridCol w:w="155"/>
        <w:gridCol w:w="60"/>
        <w:gridCol w:w="60"/>
        <w:gridCol w:w="200"/>
        <w:gridCol w:w="60"/>
        <w:gridCol w:w="120"/>
        <w:gridCol w:w="204"/>
        <w:gridCol w:w="1106"/>
        <w:gridCol w:w="155"/>
        <w:gridCol w:w="60"/>
        <w:gridCol w:w="60"/>
        <w:gridCol w:w="200"/>
        <w:gridCol w:w="60"/>
        <w:gridCol w:w="120"/>
        <w:gridCol w:w="463"/>
        <w:gridCol w:w="862"/>
        <w:gridCol w:w="60"/>
        <w:gridCol w:w="120"/>
        <w:gridCol w:w="60"/>
        <w:gridCol w:w="200"/>
        <w:gridCol w:w="60"/>
        <w:gridCol w:w="120"/>
        <w:gridCol w:w="221"/>
        <w:gridCol w:w="1074"/>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5" w:type="dxa"/>
            <w:gridSpan w:val="14"/>
            <w:tcBorders>
              <w:bottom w:val="single" w:sz="8" w:space="0" w:color="000000"/>
            </w:tcBorders>
            <w:tcMar>
              <w:bottom w:w="28" w:type="dxa"/>
            </w:tcMar>
            <w:vAlign w:val="bottom"/>
          </w:tcPr>
          <w:p>
            <w:pPr>
              <w:pStyle w:val="TableContents"/>
              <w:bidi w:val="0"/>
              <w:spacing w:before="0" w:after="283"/>
              <w:jc w:val="center"/>
              <w:rPr/>
            </w:pPr>
            <w:r>
              <w:rPr>
                <w:b/>
              </w:rPr>
              <w:t>Transaction Accounting</w:t>
            </w:r>
            <w:r>
              <w:rPr/>
              <w:br/>
            </w:r>
            <w:r>
              <w:rPr>
                <w:b/>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Corporation</w:t>
            </w:r>
            <w:r>
              <w:rPr/>
              <w:br/>
            </w: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r>
            <w:r>
              <w:rPr/>
              <w:br/>
            </w:r>
            <w:r>
              <w:rPr>
                <w:b/>
              </w:rPr>
              <w:t>Capitalization</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Spin-off</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b/>
              </w:rPr>
              <w:t>Autonomous</w:t>
            </w:r>
            <w:r>
              <w:rPr/>
              <w:br/>
            </w:r>
            <w:r>
              <w:rPr>
                <w:b/>
              </w:rPr>
              <w:t>Entity</w:t>
            </w:r>
            <w:r>
              <w:rPr/>
              <w:br/>
            </w:r>
            <w:r>
              <w:rPr>
                <w:b/>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The Flash</w:t>
            </w:r>
            <w:r>
              <w:rPr/>
              <w:br/>
            </w:r>
            <w:r>
              <w:rPr>
                <w:b/>
              </w:rPr>
              <w:t>Business of</w:t>
            </w:r>
            <w:r>
              <w:rPr/>
              <w:br/>
            </w:r>
            <w:r>
              <w:rPr>
                <w:b/>
              </w:rPr>
              <w:t>Western</w:t>
            </w:r>
            <w:r>
              <w:rPr/>
              <w:br/>
            </w:r>
            <w:r>
              <w:rPr>
                <w:b/>
              </w:rPr>
              <w:t>Digital</w:t>
            </w:r>
            <w:r>
              <w:rPr/>
              <w:br/>
            </w:r>
            <w:r>
              <w:rPr>
                <w:b/>
              </w:rPr>
              <w:t>Corporation</w:t>
            </w:r>
            <w:r>
              <w:rPr/>
              <w:br/>
            </w:r>
            <w:r>
              <w:rPr>
                <w:b/>
              </w:rPr>
              <w:t>Pro Forma</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b/>
              </w:rPr>
            </w:pPr>
            <w:r>
              <w:rPr>
                <w:b/>
              </w:rPr>
              <w:t>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1,339</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904</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2,172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Income tax receivable</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center"/>
              <w:rPr>
                <w:b/>
              </w:rPr>
            </w:pPr>
            <w:r>
              <w:rPr>
                <w:b/>
              </w:rPr>
              <w:t>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568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4,456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5,092</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Property, plant and equipment, net</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579</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Notes receivable and investments in Flash Ventures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871</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Goodwill</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6,825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6,825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center"/>
              <w:rPr>
                <w:b/>
              </w:rPr>
            </w:pPr>
            <w:r>
              <w:rPr>
                <w:b/>
              </w:rPr>
              <w:t>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136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 receivable, non-current</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center"/>
              <w:rPr>
                <w:b/>
              </w:rPr>
            </w:pPr>
            <w:r>
              <w:rPr>
                <w:b/>
              </w:rPr>
              <w:t>G</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center"/>
              <w:rPr>
                <w:b/>
              </w:rPr>
            </w:pPr>
            <w:r>
              <w:rPr>
                <w:b/>
              </w:rPr>
              <w:t>I</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1,493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14,234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b/>
              </w:rPr>
            </w:pPr>
            <w:r>
              <w:rPr>
                <w:b/>
              </w:rPr>
              <w:t>$</w:t>
            </w:r>
          </w:p>
        </w:tc>
        <w:tc>
          <w:tcPr>
            <w:tcW w:w="1156" w:type="dxa"/>
            <w:tcBorders/>
            <w:shd w:fill="CCEEFF" w:val="clear"/>
            <w:vAlign w:val="bottom"/>
          </w:tcPr>
          <w:p>
            <w:pPr>
              <w:pStyle w:val="TableContents"/>
              <w:bidi w:val="0"/>
              <w:spacing w:before="0" w:after="283"/>
              <w:jc w:val="right"/>
              <w:rPr>
                <w:b/>
              </w:rPr>
            </w:pPr>
            <w:r>
              <w:rPr>
                <w:b/>
              </w:rPr>
              <w:t>543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15,066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AND EQUITY</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320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320</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 to related parties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369</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Accrued expenses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449</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Accrued compensation</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center"/>
              <w:rPr>
                <w:b/>
              </w:rPr>
            </w:pPr>
            <w:r>
              <w:rPr>
                <w:b/>
              </w:rPr>
              <w:t>C</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156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Income taxes payable</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Current portion of long term debt</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b/>
              </w:rPr>
            </w:pPr>
            <w:r>
              <w:rPr>
                <w:b/>
              </w:rPr>
              <w:t>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Notes due to Parent</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1,873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1,319</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Long-term debt</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1,926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1,926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tax liabilities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Other liabilities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center"/>
              <w:rPr>
                <w:b/>
              </w:rPr>
            </w:pPr>
            <w:r>
              <w:rPr>
                <w:b/>
              </w:rPr>
              <w:t>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b/>
              </w:rPr>
            </w:pPr>
            <w:r>
              <w:rPr>
                <w:b/>
              </w:rPr>
              <w:t>2,233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b/>
              </w:rPr>
            </w:pPr>
            <w:r>
              <w:rPr>
                <w:b/>
              </w:rPr>
              <w:t>1,393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205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b/>
              </w:rPr>
            </w:pPr>
            <w:r>
              <w:rPr>
                <w:b/>
              </w:rPr>
              <w:t>3,865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Shareholders equity</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Common stock, $0.01 par value</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center"/>
              <w:rPr>
                <w:b/>
              </w:rPr>
            </w:pPr>
            <w:r>
              <w:rPr>
                <w:b/>
              </w:rPr>
              <w: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(850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b/>
              </w:rPr>
            </w:pPr>
            <w:r>
              <w:rPr>
                <w:b/>
              </w:rPr>
              <w:t>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12,490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center"/>
              <w:rPr>
                <w:b/>
              </w:rPr>
            </w:pPr>
            <w:r>
              <w:rPr>
                <w:b/>
              </w:rPr>
              <w:t>F</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11,640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Parent company net investment</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12,435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(12,435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center"/>
              <w:rPr>
                <w:b/>
              </w:rPr>
            </w:pPr>
            <w:r>
              <w:rPr>
                <w:b/>
              </w:rPr>
              <w:t>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center"/>
              <w:rPr>
                <w:b/>
              </w:rPr>
            </w:pPr>
            <w:r>
              <w:rPr>
                <w:b/>
              </w:rPr>
              <w:t>I</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(440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Total Shareholders equity</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12,001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11,201</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Liabilities and Equity</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14,234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b/>
              </w:rPr>
            </w:pPr>
            <w:r>
              <w:rPr>
                <w:b/>
              </w:rPr>
              <w:t>$</w:t>
            </w:r>
          </w:p>
        </w:tc>
        <w:tc>
          <w:tcPr>
            <w:tcW w:w="1156" w:type="dxa"/>
            <w:tcBorders/>
            <w:shd w:fill="CCEEFF" w:val="clear"/>
            <w:vAlign w:val="bottom"/>
          </w:tcPr>
          <w:p>
            <w:pPr>
              <w:pStyle w:val="TableContents"/>
              <w:bidi w:val="0"/>
              <w:spacing w:before="0" w:after="283"/>
              <w:jc w:val="right"/>
              <w:rPr>
                <w:b/>
              </w:rPr>
            </w:pPr>
            <w:r>
              <w:rPr>
                <w:b/>
              </w:rPr>
              <w:t>543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15,066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December 27, 2024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tbl>
      <w:tblPr>
        <w:tblW w:w="10735" w:type="dxa"/>
        <w:jc w:val="center"/>
        <w:tblInd w:w="0" w:type="dxa"/>
        <w:tblLayout w:type="fixed"/>
        <w:tblCellMar>
          <w:top w:w="0" w:type="dxa"/>
          <w:left w:w="0" w:type="dxa"/>
          <w:bottom w:w="0" w:type="dxa"/>
          <w:right w:w="0" w:type="dxa"/>
        </w:tblCellMar>
      </w:tblPr>
      <w:tblGrid>
        <w:gridCol w:w="1580"/>
        <w:gridCol w:w="120"/>
        <w:gridCol w:w="259"/>
        <w:gridCol w:w="1036"/>
        <w:gridCol w:w="155"/>
        <w:gridCol w:w="60"/>
        <w:gridCol w:w="425"/>
        <w:gridCol w:w="1020"/>
        <w:gridCol w:w="155"/>
        <w:gridCol w:w="60"/>
        <w:gridCol w:w="60"/>
        <w:gridCol w:w="185"/>
        <w:gridCol w:w="60"/>
        <w:gridCol w:w="120"/>
        <w:gridCol w:w="516"/>
        <w:gridCol w:w="794"/>
        <w:gridCol w:w="155"/>
        <w:gridCol w:w="60"/>
        <w:gridCol w:w="60"/>
        <w:gridCol w:w="200"/>
        <w:gridCol w:w="60"/>
        <w:gridCol w:w="120"/>
        <w:gridCol w:w="463"/>
        <w:gridCol w:w="862"/>
        <w:gridCol w:w="155"/>
        <w:gridCol w:w="60"/>
        <w:gridCol w:w="60"/>
        <w:gridCol w:w="245"/>
        <w:gridCol w:w="60"/>
        <w:gridCol w:w="120"/>
        <w:gridCol w:w="238"/>
        <w:gridCol w:w="1057"/>
        <w:gridCol w:w="15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0" w:type="dxa"/>
            <w:gridSpan w:val="14"/>
            <w:tcBorders>
              <w:bottom w:val="single" w:sz="8" w:space="0" w:color="000000"/>
            </w:tcBorders>
            <w:tcMar>
              <w:bottom w:w="28" w:type="dxa"/>
            </w:tcMar>
            <w:vAlign w:val="bottom"/>
          </w:tcPr>
          <w:p>
            <w:pPr>
              <w:pStyle w:val="TableContents"/>
              <w:bidi w:val="0"/>
              <w:spacing w:before="0" w:after="283"/>
              <w:jc w:val="center"/>
              <w:rPr/>
            </w:pPr>
            <w:r>
              <w:rPr>
                <w:b/>
              </w:rPr>
              <w:t>Transaction Accounting</w:t>
            </w:r>
            <w:r>
              <w:rPr/>
              <w:br/>
            </w:r>
            <w:r>
              <w:rPr>
                <w:b/>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Corporation</w:t>
            </w:r>
            <w:r>
              <w:rPr/>
              <w:br/>
            </w: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r>
            <w:r>
              <w:rPr/>
              <w:br/>
            </w:r>
            <w:r>
              <w:rPr>
                <w:b/>
              </w:rPr>
              <w:t>Capitalization</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Spin-off</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b/>
              </w:rPr>
              <w:t>Autonomous</w:t>
            </w:r>
            <w:r>
              <w:rPr/>
              <w:br/>
            </w:r>
            <w:r>
              <w:rPr>
                <w:b/>
              </w:rPr>
              <w:t>Entity</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The Flash</w:t>
            </w:r>
            <w:r>
              <w:rPr/>
              <w:br/>
            </w:r>
            <w:r>
              <w:rPr>
                <w:b/>
              </w:rPr>
              <w:t>Business of</w:t>
            </w:r>
            <w:r>
              <w:rPr/>
              <w:br/>
            </w:r>
            <w:r>
              <w:rPr>
                <w:b/>
              </w:rPr>
              <w:t>Western</w:t>
            </w:r>
            <w:r>
              <w:rPr/>
              <w:br/>
            </w:r>
            <w:r>
              <w:rPr>
                <w:b/>
              </w:rPr>
              <w:t>Digital</w:t>
            </w:r>
            <w:r>
              <w:rPr/>
              <w:br/>
            </w:r>
            <w:r>
              <w:rPr>
                <w:b/>
              </w:rPr>
              <w:t>Corporation</w:t>
            </w:r>
            <w:r>
              <w:rPr/>
              <w:br/>
            </w:r>
            <w:r>
              <w:rPr>
                <w:b/>
              </w:rPr>
              <w:t>Pro Forma</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3,759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 </w:t>
            </w:r>
            <w:r>
              <w:rPr/>
              <w:t>3,759</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2,427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b/>
              </w:rPr>
            </w:pPr>
            <w:r>
              <w:rPr>
                <w:b/>
              </w:rPr>
              <w:t>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2,425</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b/>
              </w:rPr>
            </w:pPr>
            <w:r>
              <w:rPr>
                <w:b/>
              </w:rPr>
              <w:t>Q</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1,332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1,334</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562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b/>
              </w:rPr>
            </w:pPr>
            <w:r>
              <w:rPr>
                <w:b/>
              </w:rPr>
              <w:t>Q</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b/>
              </w:rPr>
            </w:pPr>
            <w:r>
              <w:rPr>
                <w:b/>
              </w:rPr>
              <w:t>K</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right"/>
              <w:rPr>
                <w:b/>
              </w:rPr>
            </w:pPr>
            <w:r>
              <w:rPr>
                <w:b/>
              </w:rPr>
              <w:t>M</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284</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b/>
              </w:rPr>
            </w:pPr>
            <w:r>
              <w:rPr>
                <w:b/>
              </w:rPr>
              <w:t>Q</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 charges</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business divestiture</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846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863</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b/>
              </w:rPr>
            </w:pPr>
            <w:r>
              <w:rPr>
                <w:b/>
              </w:rPr>
              <w:t>486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b/>
              </w:rPr>
            </w:pPr>
            <w:r>
              <w:rPr>
                <w:b/>
              </w:rPr>
              <w:t>(7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b/>
              </w:rPr>
            </w:pPr>
            <w:r>
              <w:rPr>
                <w:b/>
              </w:rPr>
              <w:t>471</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and other income (expense)</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right"/>
              <w:rPr>
                <w:b/>
              </w:rPr>
            </w:pPr>
            <w:r>
              <w:rPr>
                <w:b/>
              </w:rPr>
              <w:t>B</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right"/>
              <w:rPr>
                <w:b/>
              </w:rPr>
            </w:pPr>
            <w:r>
              <w:rPr>
                <w:b/>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b/>
              </w:rPr>
            </w:pPr>
            <w:r>
              <w:rPr>
                <w:b/>
              </w:rPr>
              <w:t>I</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interest and other income (expense)</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taxes</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b/>
              </w:rPr>
            </w:pPr>
            <w:r>
              <w:rPr>
                <w:b/>
              </w:rPr>
              <w:t>440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b/>
              </w:rPr>
            </w:pPr>
            <w:r>
              <w:rPr>
                <w:b/>
              </w:rPr>
              <w:t>(77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b/>
              </w:rPr>
            </w:pPr>
            <w:r>
              <w:rPr>
                <w:b/>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b/>
              </w:rPr>
            </w:pPr>
            <w:r>
              <w:rPr>
                <w:b/>
              </w:rPr>
              <w:t>349</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right"/>
              <w:rPr>
                <w:b/>
              </w:rPr>
            </w:pPr>
            <w:r>
              <w:rPr>
                <w:b/>
              </w:rPr>
              <w:t>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right"/>
              <w:rPr>
                <w:b/>
              </w:rPr>
            </w:pPr>
            <w:r>
              <w:rPr>
                <w:b/>
              </w:rPr>
              <w:t>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1036" w:type="dxa"/>
            <w:tcBorders/>
            <w:shd w:fill="CCEEFF" w:val="clear"/>
            <w:vAlign w:val="bottom"/>
          </w:tcPr>
          <w:p>
            <w:pPr>
              <w:pStyle w:val="TableContents"/>
              <w:bidi w:val="0"/>
              <w:spacing w:before="0" w:after="283"/>
              <w:jc w:val="right"/>
              <w:rPr>
                <w:b/>
              </w:rPr>
            </w:pPr>
            <w:r>
              <w:rPr>
                <w:b/>
              </w:rPr>
              <w:t>315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b/>
              </w:rPr>
            </w:pPr>
            <w:r>
              <w:rPr>
                <w:b/>
              </w:rPr>
              <w:t>$</w:t>
            </w:r>
          </w:p>
        </w:tc>
        <w:tc>
          <w:tcPr>
            <w:tcW w:w="1020" w:type="dxa"/>
            <w:tcBorders/>
            <w:shd w:fill="CCEEFF" w:val="clear"/>
            <w:vAlign w:val="bottom"/>
          </w:tcPr>
          <w:p>
            <w:pPr>
              <w:pStyle w:val="TableContents"/>
              <w:bidi w:val="0"/>
              <w:spacing w:before="0" w:after="283"/>
              <w:jc w:val="right"/>
              <w:rPr>
                <w:b/>
              </w:rPr>
            </w:pPr>
            <w:r>
              <w:rPr>
                <w:b/>
              </w:rPr>
              <w:t>(62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b/>
              </w:rPr>
            </w:pPr>
            <w:r>
              <w:rPr>
                <w:b/>
              </w:rPr>
              <w:t>$</w:t>
            </w:r>
          </w:p>
        </w:tc>
        <w:tc>
          <w:tcPr>
            <w:tcW w:w="794" w:type="dxa"/>
            <w:tcBorders/>
            <w:shd w:fill="CCEEFF" w:val="clear"/>
            <w:vAlign w:val="bottom"/>
          </w:tcPr>
          <w:p>
            <w:pPr>
              <w:pStyle w:val="TableContents"/>
              <w:bidi w:val="0"/>
              <w:spacing w:before="0" w:after="283"/>
              <w:jc w:val="right"/>
              <w:rPr>
                <w:b/>
              </w:rPr>
            </w:pPr>
            <w:r>
              <w:rPr>
                <w:b/>
              </w:rPr>
              <w:t>(6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1057" w:type="dxa"/>
            <w:tcBorders/>
            <w:shd w:fill="CCEEFF" w:val="clear"/>
            <w:vAlign w:val="bottom"/>
          </w:tcPr>
          <w:p>
            <w:pPr>
              <w:pStyle w:val="TableContents"/>
              <w:bidi w:val="0"/>
              <w:spacing w:before="0" w:after="283"/>
              <w:jc w:val="right"/>
              <w:rPr>
                <w:b/>
              </w:rPr>
            </w:pPr>
            <w:r>
              <w:rPr>
                <w:b/>
              </w:rPr>
              <w:t>239</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per share:</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0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 </w:t>
            </w:r>
          </w:p>
        </w:tc>
        <w:tc>
          <w:tcPr>
            <w:tcW w:w="1382" w:type="dxa"/>
            <w:gridSpan w:val="5"/>
            <w:tcBorders/>
            <w:shd w:fill="CCEEFF" w:val="clear"/>
            <w:vAlign w:val="bottom"/>
          </w:tcPr>
          <w:p>
            <w:pPr>
              <w:pStyle w:val="TableContents"/>
              <w:bidi w:val="0"/>
              <w:spacing w:before="0" w:after="283"/>
              <w:jc w:val="right"/>
              <w:rPr>
                <w:b/>
              </w:rPr>
            </w:pPr>
            <w:r>
              <w:rPr>
                <w:b/>
              </w:rPr>
              <w:t>Note 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 </w:t>
            </w:r>
          </w:p>
        </w:tc>
        <w:tc>
          <w:tcPr>
            <w:tcW w:w="1382" w:type="dxa"/>
            <w:gridSpan w:val="5"/>
            <w:tcBorders/>
            <w:vAlign w:val="bottom"/>
          </w:tcPr>
          <w:p>
            <w:pPr>
              <w:pStyle w:val="TableContents"/>
              <w:bidi w:val="0"/>
              <w:spacing w:before="0" w:after="283"/>
              <w:jc w:val="right"/>
              <w:rPr>
                <w:b/>
              </w:rPr>
            </w:pPr>
            <w:r>
              <w:rPr>
                <w:b/>
              </w:rPr>
              <w:t>Note 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057"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Weighted-average number of common shares outstanding:</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 </w:t>
            </w:r>
          </w:p>
        </w:tc>
        <w:tc>
          <w:tcPr>
            <w:tcW w:w="1382" w:type="dxa"/>
            <w:gridSpan w:val="5"/>
            <w:tcBorders/>
            <w:vAlign w:val="bottom"/>
          </w:tcPr>
          <w:p>
            <w:pPr>
              <w:pStyle w:val="TableContents"/>
              <w:bidi w:val="0"/>
              <w:spacing w:before="0" w:after="283"/>
              <w:jc w:val="right"/>
              <w:rPr>
                <w:b/>
              </w:rPr>
            </w:pPr>
            <w:r>
              <w:rPr>
                <w:b/>
              </w:rPr>
              <w:t xml:space="preserve">Note 3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 </w:t>
            </w:r>
          </w:p>
        </w:tc>
        <w:tc>
          <w:tcPr>
            <w:tcW w:w="1382" w:type="dxa"/>
            <w:gridSpan w:val="5"/>
            <w:tcBorders/>
            <w:shd w:fill="CCEEFF" w:val="clear"/>
            <w:vAlign w:val="bottom"/>
          </w:tcPr>
          <w:p>
            <w:pPr>
              <w:pStyle w:val="TableContents"/>
              <w:bidi w:val="0"/>
              <w:spacing w:before="0" w:after="283"/>
              <w:jc w:val="right"/>
              <w:rPr>
                <w:b/>
              </w:rPr>
            </w:pPr>
            <w:r>
              <w:rPr>
                <w:b/>
              </w:rPr>
              <w:t xml:space="preserve">Note 3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June 28, 2024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tbl>
      <w:tblPr>
        <w:tblW w:w="10930" w:type="dxa"/>
        <w:jc w:val="center"/>
        <w:tblInd w:w="0" w:type="dxa"/>
        <w:tblLayout w:type="fixed"/>
        <w:tblCellMar>
          <w:top w:w="0" w:type="dxa"/>
          <w:left w:w="0" w:type="dxa"/>
          <w:bottom w:w="0" w:type="dxa"/>
          <w:right w:w="0" w:type="dxa"/>
        </w:tblCellMar>
      </w:tblPr>
      <w:tblGrid>
        <w:gridCol w:w="1580"/>
        <w:gridCol w:w="60"/>
        <w:gridCol w:w="259"/>
        <w:gridCol w:w="1036"/>
        <w:gridCol w:w="155"/>
        <w:gridCol w:w="60"/>
        <w:gridCol w:w="340"/>
        <w:gridCol w:w="1105"/>
        <w:gridCol w:w="155"/>
        <w:gridCol w:w="60"/>
        <w:gridCol w:w="60"/>
        <w:gridCol w:w="185"/>
        <w:gridCol w:w="60"/>
        <w:gridCol w:w="60"/>
        <w:gridCol w:w="386"/>
        <w:gridCol w:w="924"/>
        <w:gridCol w:w="155"/>
        <w:gridCol w:w="60"/>
        <w:gridCol w:w="60"/>
        <w:gridCol w:w="200"/>
        <w:gridCol w:w="60"/>
        <w:gridCol w:w="60"/>
        <w:gridCol w:w="390"/>
        <w:gridCol w:w="935"/>
        <w:gridCol w:w="155"/>
        <w:gridCol w:w="60"/>
        <w:gridCol w:w="60"/>
        <w:gridCol w:w="680"/>
        <w:gridCol w:w="60"/>
        <w:gridCol w:w="60"/>
        <w:gridCol w:w="259"/>
        <w:gridCol w:w="1036"/>
        <w:gridCol w:w="155"/>
      </w:tblGrid>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0" w:type="dxa"/>
            <w:gridSpan w:val="14"/>
            <w:tcBorders>
              <w:bottom w:val="single" w:sz="8" w:space="0" w:color="000000"/>
            </w:tcBorders>
            <w:tcMar>
              <w:bottom w:w="28" w:type="dxa"/>
            </w:tcMar>
            <w:vAlign w:val="bottom"/>
          </w:tcPr>
          <w:p>
            <w:pPr>
              <w:pStyle w:val="TableContents"/>
              <w:bidi w:val="0"/>
              <w:spacing w:before="0" w:after="283"/>
              <w:jc w:val="center"/>
              <w:rPr/>
            </w:pPr>
            <w:r>
              <w:rPr>
                <w:b/>
              </w:rPr>
              <w:t>Transaction Accounting</w:t>
            </w:r>
            <w:r>
              <w:rPr/>
              <w:br/>
            </w:r>
            <w:r>
              <w:rPr>
                <w:b/>
              </w:rP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The Flash</w:t>
            </w:r>
            <w:r>
              <w:rPr/>
              <w:br/>
            </w:r>
            <w:r>
              <w:rPr>
                <w:b/>
              </w:rPr>
              <w:t>Business of</w:t>
            </w:r>
            <w:r>
              <w:rPr/>
              <w:br/>
            </w:r>
            <w:r>
              <w:rPr>
                <w:b/>
              </w:rPr>
              <w:t>Western</w:t>
            </w:r>
            <w:r>
              <w:rPr/>
              <w:br/>
            </w:r>
            <w:r>
              <w:rPr>
                <w:b/>
              </w:rPr>
              <w:t>Digital</w:t>
            </w:r>
            <w:r>
              <w:rPr/>
              <w:br/>
            </w:r>
            <w:r>
              <w:rPr>
                <w:b/>
              </w:rPr>
              <w:t>Corporation</w:t>
            </w:r>
            <w:r>
              <w:rPr/>
              <w:br/>
            </w: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Financing/</w:t>
            </w:r>
            <w:r>
              <w:rPr/>
              <w:br/>
            </w:r>
            <w:r>
              <w:rPr>
                <w:b/>
              </w:rPr>
              <w:t>Capitalization</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Spin-off</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b/>
              </w:rPr>
              <w:t>Autonomous</w:t>
            </w:r>
            <w:r>
              <w:rPr/>
              <w:br/>
            </w:r>
            <w:r>
              <w:rPr>
                <w:b/>
              </w:rPr>
              <w:t>Entity</w:t>
            </w:r>
            <w:r>
              <w:rPr/>
              <w:br/>
            </w:r>
            <w:r>
              <w:rPr>
                <w:b/>
              </w:rP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The Flash</w:t>
            </w:r>
            <w:r>
              <w:rPr/>
              <w:br/>
            </w:r>
            <w:r>
              <w:rPr>
                <w:b/>
              </w:rPr>
              <w:t>Business of</w:t>
            </w:r>
            <w:r>
              <w:rPr/>
              <w:br/>
            </w:r>
            <w:r>
              <w:rPr>
                <w:b/>
              </w:rPr>
              <w:t>Western</w:t>
            </w:r>
            <w:r>
              <w:rPr/>
              <w:br/>
            </w:r>
            <w:r>
              <w:rPr>
                <w:b/>
              </w:rPr>
              <w:t>Digital</w:t>
            </w:r>
            <w:r>
              <w:rPr/>
              <w:br/>
            </w:r>
            <w:r>
              <w:rPr>
                <w:b/>
              </w:rPr>
              <w:t>Corporation</w:t>
            </w:r>
            <w:r>
              <w:rPr/>
              <w:br/>
            </w:r>
            <w:r>
              <w:rPr>
                <w:b/>
              </w:rPr>
              <w:t>Pro Forma</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6,663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6,663</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5,591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5,578</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Q</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1,072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b/>
              </w:rPr>
            </w:pPr>
            <w:r>
              <w:rPr>
                <w:b/>
              </w:rPr>
              <w:t>(6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1,085</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1,061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1,068</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Q</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524</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Q</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 charges</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1,540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1,629</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(468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b/>
              </w:rPr>
            </w:pPr>
            <w:r>
              <w:rPr>
                <w:b/>
              </w:rPr>
              <w:t>(68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(544</w:t>
            </w:r>
          </w:p>
        </w:tc>
        <w:tc>
          <w:tcPr>
            <w:tcW w:w="155" w:type="dxa"/>
            <w:tcBorders/>
            <w:vAlign w:val="bottom"/>
          </w:tcPr>
          <w:p>
            <w:pPr>
              <w:pStyle w:val="TableContents"/>
              <w:bidi w:val="0"/>
              <w:spacing w:before="0" w:after="283"/>
              <w:jc w:val="left"/>
              <w:rPr>
                <w:b/>
              </w:rPr>
            </w:pPr>
            <w:r>
              <w:rPr>
                <w:b/>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 and other income (expense)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right"/>
              <w:rPr>
                <w:b/>
              </w:rPr>
            </w:pP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right"/>
              <w:rPr>
                <w:b/>
              </w:rPr>
            </w:pPr>
            <w:r>
              <w:rPr>
                <w:b/>
              </w:rPr>
              <w:t>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right"/>
              <w:rPr>
                <w:b/>
              </w:rPr>
            </w:pPr>
            <w:r>
              <w:rPr>
                <w:b/>
              </w:rPr>
              <w:t>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interest and other income (expense)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taxes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(503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(131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b/>
              </w:rPr>
            </w:pPr>
            <w:r>
              <w:rPr>
                <w:b/>
              </w:rPr>
              <w:t>(65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b/>
              </w:rPr>
            </w:pPr>
            <w:r>
              <w:rPr>
                <w:b/>
              </w:rPr>
              <w:t>(707</w:t>
            </w:r>
          </w:p>
        </w:tc>
        <w:tc>
          <w:tcPr>
            <w:tcW w:w="155" w:type="dxa"/>
            <w:tcBorders/>
            <w:vAlign w:val="bottom"/>
          </w:tcPr>
          <w:p>
            <w:pPr>
              <w:pStyle w:val="TableContents"/>
              <w:bidi w:val="0"/>
              <w:spacing w:before="0" w:after="283"/>
              <w:jc w:val="left"/>
              <w:rPr>
                <w:b/>
              </w:rPr>
            </w:pPr>
            <w:r>
              <w:rPr>
                <w:b/>
              </w:rPr>
              <w:t>) </w:t>
            </w:r>
          </w:p>
        </w:tc>
      </w:tr>
      <w:tr>
        <w:trPr/>
        <w:tc>
          <w:tcPr>
            <w:tcW w:w="15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right"/>
              <w:rPr>
                <w:b/>
              </w:rPr>
            </w:pPr>
            <w:r>
              <w:rPr>
                <w:b/>
              </w:rPr>
              <w:t>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b/>
              </w:rPr>
            </w:pPr>
            <w:r>
              <w:rPr>
                <w:b/>
              </w:rPr>
              <w:t>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036" w:type="dxa"/>
            <w:tcBorders/>
            <w:vAlign w:val="bottom"/>
          </w:tcPr>
          <w:p>
            <w:pPr>
              <w:pStyle w:val="TableContents"/>
              <w:bidi w:val="0"/>
              <w:spacing w:before="0" w:after="283"/>
              <w:jc w:val="right"/>
              <w:rPr>
                <w:b/>
              </w:rPr>
            </w:pPr>
            <w:r>
              <w:rPr>
                <w:b/>
              </w:rPr>
              <w:t>(672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(103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b/>
              </w:rPr>
            </w:pPr>
            <w:r>
              <w:rPr>
                <w:b/>
              </w:rPr>
              <w:t>$</w:t>
            </w:r>
          </w:p>
        </w:tc>
        <w:tc>
          <w:tcPr>
            <w:tcW w:w="924" w:type="dxa"/>
            <w:tcBorders/>
            <w:vAlign w:val="bottom"/>
          </w:tcPr>
          <w:p>
            <w:pPr>
              <w:pStyle w:val="TableContents"/>
              <w:bidi w:val="0"/>
              <w:spacing w:before="0" w:after="283"/>
              <w:jc w:val="right"/>
              <w:rPr>
                <w:b/>
              </w:rPr>
            </w:pPr>
            <w:r>
              <w:rPr>
                <w:b/>
              </w:rPr>
              <w:t>(62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b/>
              </w:rPr>
            </w:pPr>
            <w:r>
              <w:rPr>
                <w:b/>
              </w:rPr>
              <w:t>$</w:t>
            </w:r>
          </w:p>
        </w:tc>
        <w:tc>
          <w:tcPr>
            <w:tcW w:w="935" w:type="dxa"/>
            <w:tcBorders/>
            <w:vAlign w:val="bottom"/>
          </w:tcPr>
          <w:p>
            <w:pPr>
              <w:pStyle w:val="TableContents"/>
              <w:bidi w:val="0"/>
              <w:spacing w:before="0" w:after="283"/>
              <w:jc w:val="right"/>
              <w:rPr>
                <w:b/>
              </w:rPr>
            </w:pPr>
            <w:r>
              <w:rPr>
                <w:b/>
              </w:rPr>
              <w:t>(6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036" w:type="dxa"/>
            <w:tcBorders/>
            <w:vAlign w:val="bottom"/>
          </w:tcPr>
          <w:p>
            <w:pPr>
              <w:pStyle w:val="TableContents"/>
              <w:bidi w:val="0"/>
              <w:spacing w:before="0" w:after="283"/>
              <w:jc w:val="right"/>
              <w:rPr>
                <w:b/>
              </w:rPr>
            </w:pPr>
            <w:r>
              <w:rPr>
                <w:b/>
              </w:rPr>
              <w:t>(843</w:t>
            </w:r>
          </w:p>
        </w:tc>
        <w:tc>
          <w:tcPr>
            <w:tcW w:w="155" w:type="dxa"/>
            <w:tcBorders/>
            <w:vAlign w:val="bottom"/>
          </w:tcPr>
          <w:p>
            <w:pPr>
              <w:pStyle w:val="TableContents"/>
              <w:bidi w:val="0"/>
              <w:spacing w:before="0" w:after="283"/>
              <w:jc w:val="left"/>
              <w:rPr>
                <w:b/>
              </w:rPr>
            </w:pPr>
            <w:r>
              <w:rPr>
                <w:b/>
              </w:rPr>
              <w:t>) </w:t>
            </w:r>
          </w:p>
        </w:tc>
      </w:tr>
      <w:tr>
        <w:trPr/>
        <w:tc>
          <w:tcPr>
            <w:tcW w:w="15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per share: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Note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036"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Weighted-average number of common shares outstanding:</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sz w:val="4"/>
                <w:szCs w:val="4"/>
              </w:rPr>
            </w:pPr>
            <w:r>
              <w:rPr>
                <w:sz w:val="4"/>
                <w:szCs w:val="4"/>
              </w:rPr>
            </w:r>
          </w:p>
        </w:tc>
        <w:tc>
          <w:tcPr>
            <w:tcW w:w="9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Note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934557_10"/>
      <w:bookmarkEnd w:id="12"/>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27, 2024, and the unaudited pro forma condensed combined statement of operations for the six months ended December 27, 2024 and for the fiscal year ended June 28, 2024, include the following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1. Transaction Accounting Adjustments </w:t>
      </w:r>
    </w:p>
    <w:p>
      <w:pPr>
        <w:pStyle w:val="TextBody"/>
        <w:bidi w:val="0"/>
        <w:spacing w:before="120" w:after="0"/>
        <w:jc w:val="left"/>
        <w:rPr>
          <w:rFonts w:ascii="Times New Roman" w:hAnsi="Times New Roman"/>
          <w:b/>
          <w:sz w:val="20"/>
        </w:rPr>
      </w:pPr>
      <w:r>
        <w:rPr>
          <w:rFonts w:ascii="Times New Roman" w:hAnsi="Times New Roman"/>
          <w:b/>
          <w:sz w:val="20"/>
        </w:rPr>
        <w:t xml:space="preserve">Financing / Capitalization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$2,000 million of borrowings incurred in connection with the spin-off pursuant to the debt financing transactions, offset by term loan and revolving credit facility debt issuance costs of $24 million and $8 million, respectively, and term loan original issue discount of $30 million. See Description of Material Indebtedness for additional details. We paid WDC, as partial consideration for the Flash Business that WDC transferred to us in connection with the spin-off, all of the net proceeds that we received from the debt financing transactions, together with any interest accrued thereon following our receipt of such proceeds, provided that we retained an amount in cash and cash equivalents of $1,339 million, after giving effect to this offering, the debt financing transactions and the settlement or termination of Notes due to (from) Parent. See Managements Discussion and Analysis of Financial Conditions and Results of OperationsFinancial Condition, Liquidity and Capital Resources for additional details.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adjustments to 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7"/>
        <w:gridCol w:w="676"/>
        <w:gridCol w:w="257"/>
        <w:gridCol w:w="1191"/>
        <w:gridCol w:w="158"/>
      </w:tblGrid>
      <w:tr>
        <w:trPr/>
        <w:tc>
          <w:tcPr>
            <w:tcW w:w="4657" w:type="dxa"/>
            <w:tcBorders/>
            <w:vAlign w:val="center"/>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bidi w:val="0"/>
              <w:spacing w:before="0" w:after="283"/>
              <w:jc w:val="left"/>
              <w:rPr>
                <w:b/>
              </w:rPr>
            </w:pPr>
            <w:r>
              <w:rPr>
                <w:b/>
              </w:rPr>
              <w:t>(in millions)</w:t>
            </w:r>
          </w:p>
        </w:tc>
        <w:tc>
          <w:tcPr>
            <w:tcW w:w="676"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27,</w:t>
              <w:br/>
              <w:t>2024</w:t>
            </w:r>
          </w:p>
        </w:tc>
        <w:tc>
          <w:tcPr>
            <w:tcW w:w="158"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received from issuance of debt</w:t>
            </w:r>
          </w:p>
        </w:tc>
        <w:tc>
          <w:tcPr>
            <w:tcW w:w="67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1,970</w:t>
            </w:r>
          </w:p>
        </w:tc>
        <w:tc>
          <w:tcPr>
            <w:tcW w:w="158"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Cash distribution to WDC at separation</w:t>
            </w:r>
          </w:p>
        </w:tc>
        <w:tc>
          <w:tcPr>
            <w:tcW w:w="67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(1,403</w:t>
            </w:r>
          </w:p>
        </w:tc>
        <w:tc>
          <w:tcPr>
            <w:tcW w:w="158"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debt issuance costs</w:t>
            </w:r>
          </w:p>
        </w:tc>
        <w:tc>
          <w:tcPr>
            <w:tcW w:w="67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(32</w:t>
            </w:r>
          </w:p>
        </w:tc>
        <w:tc>
          <w:tcPr>
            <w:tcW w:w="158"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 forma adjustment to cash and cash equivalents</w:t>
            </w:r>
          </w:p>
        </w:tc>
        <w:tc>
          <w:tcPr>
            <w:tcW w:w="67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b/>
              </w:rPr>
            </w:pPr>
            <w:r>
              <w:rPr>
                <w:b/>
              </w:rPr>
              <w:t>$</w:t>
            </w:r>
          </w:p>
        </w:tc>
        <w:tc>
          <w:tcPr>
            <w:tcW w:w="1191" w:type="dxa"/>
            <w:tcBorders/>
            <w:vAlign w:val="bottom"/>
          </w:tcPr>
          <w:p>
            <w:pPr>
              <w:pStyle w:val="TableContents"/>
              <w:bidi w:val="0"/>
              <w:spacing w:before="0" w:after="283"/>
              <w:jc w:val="right"/>
              <w:rPr>
                <w:b/>
              </w:rPr>
            </w:pPr>
            <w:r>
              <w:rPr>
                <w:b/>
              </w:rPr>
              <w:t>535</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entered into a five-year revolving credit facility of $1,500 million; however, the facility was not drawn upon at the completion of the spin-off. The associated issuance costs are recorded in other non-current assets and amortized to interest expense over the term of the credit facility. Periodic fees payable on the undrawn portion of the revolving credit facility have also been reflected as adjustments to 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adjustments to long-term debt: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94"/>
        <w:gridCol w:w="717"/>
        <w:gridCol w:w="284"/>
        <w:gridCol w:w="1186"/>
        <w:gridCol w:w="158"/>
      </w:tblGrid>
      <w:tr>
        <w:trPr/>
        <w:tc>
          <w:tcPr>
            <w:tcW w:w="4594" w:type="dxa"/>
            <w:tcBorders/>
            <w:vAlign w:val="center"/>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bottom"/>
          </w:tcPr>
          <w:p>
            <w:pPr>
              <w:pStyle w:val="TableContents"/>
              <w:bidi w:val="0"/>
              <w:spacing w:before="0" w:after="283"/>
              <w:jc w:val="left"/>
              <w:rPr>
                <w:b/>
              </w:rPr>
            </w:pPr>
            <w:r>
              <w:rPr>
                <w:b/>
              </w:rPr>
              <w:t>(in millions)</w:t>
            </w:r>
          </w:p>
        </w:tc>
        <w:tc>
          <w:tcPr>
            <w:tcW w:w="717"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27,</w:t>
              <w:br/>
              <w:t>2024</w:t>
            </w:r>
          </w:p>
        </w:tc>
        <w:tc>
          <w:tcPr>
            <w:tcW w:w="158" w:type="dxa"/>
            <w:tcBorders/>
            <w:vAlign w:val="bottom"/>
          </w:tcPr>
          <w:p>
            <w:pPr>
              <w:pStyle w:val="TableContents"/>
              <w:bidi w:val="0"/>
              <w:spacing w:before="0" w:after="283"/>
              <w:jc w:val="left"/>
              <w:rPr/>
            </w:pPr>
            <w:r>
              <w:rPr/>
              <w:t> </w:t>
            </w:r>
          </w:p>
        </w:tc>
      </w:tr>
      <w:tr>
        <w:trPr/>
        <w:tc>
          <w:tcPr>
            <w:tcW w:w="4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received from issuance of debt</w:t>
            </w:r>
          </w:p>
        </w:tc>
        <w:tc>
          <w:tcPr>
            <w:tcW w:w="71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1,970</w:t>
            </w:r>
          </w:p>
        </w:tc>
        <w:tc>
          <w:tcPr>
            <w:tcW w:w="158" w:type="dxa"/>
            <w:tcBorders/>
            <w:shd w:fill="CCEEFF" w:val="clear"/>
            <w:vAlign w:val="bottom"/>
          </w:tcPr>
          <w:p>
            <w:pPr>
              <w:pStyle w:val="TableContents"/>
              <w:bidi w:val="0"/>
              <w:spacing w:before="0" w:after="283"/>
              <w:jc w:val="left"/>
              <w:rPr/>
            </w:pPr>
            <w:r>
              <w:rPr/>
              <w:t> </w:t>
            </w:r>
          </w:p>
        </w:tc>
      </w:tr>
      <w:tr>
        <w:trPr/>
        <w:tc>
          <w:tcPr>
            <w:tcW w:w="4594" w:type="dxa"/>
            <w:tcBorders/>
          </w:tcPr>
          <w:p>
            <w:pPr>
              <w:pStyle w:val="TableContents"/>
              <w:bidi w:val="0"/>
              <w:spacing w:before="0" w:after="0"/>
              <w:jc w:val="left"/>
              <w:rPr>
                <w:rFonts w:ascii="Times New Roman" w:hAnsi="Times New Roman"/>
                <w:sz w:val="20"/>
              </w:rPr>
            </w:pPr>
            <w:r>
              <w:rPr>
                <w:rFonts w:ascii="Times New Roman" w:hAnsi="Times New Roman"/>
                <w:sz w:val="20"/>
              </w:rPr>
              <w:t>Deferred debt issuance costs for term loan</w:t>
            </w:r>
          </w:p>
        </w:tc>
        <w:tc>
          <w:tcPr>
            <w:tcW w:w="71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(24</w:t>
            </w:r>
          </w:p>
        </w:tc>
        <w:tc>
          <w:tcPr>
            <w:tcW w:w="158" w:type="dxa"/>
            <w:tcBorders/>
            <w:vAlign w:val="bottom"/>
          </w:tcPr>
          <w:p>
            <w:pPr>
              <w:pStyle w:val="TableContents"/>
              <w:bidi w:val="0"/>
              <w:spacing w:before="0" w:after="283"/>
              <w:jc w:val="left"/>
              <w:rPr/>
            </w:pPr>
            <w:r>
              <w:rPr/>
              <w:t>) </w:t>
            </w:r>
          </w:p>
        </w:tc>
      </w:tr>
      <w:tr>
        <w:trPr/>
        <w:tc>
          <w:tcPr>
            <w:tcW w:w="45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 forma adjustment to debt</w:t>
            </w:r>
          </w:p>
        </w:tc>
        <w:tc>
          <w:tcPr>
            <w:tcW w:w="71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b/>
              </w:rPr>
            </w:pPr>
            <w:r>
              <w:rPr>
                <w:b/>
              </w:rPr>
              <w:t>1,946</w:t>
            </w:r>
          </w:p>
        </w:tc>
        <w:tc>
          <w:tcPr>
            <w:tcW w:w="158" w:type="dxa"/>
            <w:tcBorders/>
            <w:shd w:fill="CCEEFF" w:val="clear"/>
            <w:vAlign w:val="bottom"/>
          </w:tcPr>
          <w:p>
            <w:pPr>
              <w:pStyle w:val="TableContents"/>
              <w:bidi w:val="0"/>
              <w:spacing w:before="0" w:after="283"/>
              <w:jc w:val="left"/>
              <w:rPr/>
            </w:pPr>
            <w:r>
              <w:rPr/>
              <w:t> </w:t>
            </w:r>
          </w:p>
        </w:tc>
      </w:tr>
      <w:tr>
        <w:trPr/>
        <w:tc>
          <w:tcPr>
            <w:tcW w:w="4594"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 of long-term debt</w:t>
            </w:r>
          </w:p>
        </w:tc>
        <w:tc>
          <w:tcPr>
            <w:tcW w:w="71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(20</w:t>
            </w:r>
          </w:p>
        </w:tc>
        <w:tc>
          <w:tcPr>
            <w:tcW w:w="158" w:type="dxa"/>
            <w:tcBorders/>
            <w:vAlign w:val="bottom"/>
          </w:tcPr>
          <w:p>
            <w:pPr>
              <w:pStyle w:val="TableContents"/>
              <w:bidi w:val="0"/>
              <w:spacing w:before="0" w:after="283"/>
              <w:jc w:val="left"/>
              <w:rPr/>
            </w:pPr>
            <w:r>
              <w:rPr/>
              <w:t>) </w:t>
            </w:r>
          </w:p>
        </w:tc>
      </w:tr>
      <w:tr>
        <w:trPr/>
        <w:tc>
          <w:tcPr>
            <w:tcW w:w="45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pro forma adjustment to long-term debt</w:t>
            </w:r>
          </w:p>
        </w:tc>
        <w:tc>
          <w:tcPr>
            <w:tcW w:w="71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b/>
              </w:rPr>
            </w:pPr>
            <w:r>
              <w:rPr>
                <w:b/>
              </w:rPr>
              <w:t>$</w:t>
            </w:r>
          </w:p>
        </w:tc>
        <w:tc>
          <w:tcPr>
            <w:tcW w:w="1186" w:type="dxa"/>
            <w:tcBorders/>
            <w:shd w:fill="CCEEFF" w:val="clear"/>
            <w:vAlign w:val="bottom"/>
          </w:tcPr>
          <w:p>
            <w:pPr>
              <w:pStyle w:val="TableContents"/>
              <w:bidi w:val="0"/>
              <w:spacing w:before="0" w:after="283"/>
              <w:jc w:val="right"/>
              <w:rPr>
                <w:b/>
              </w:rPr>
            </w:pPr>
            <w:r>
              <w:rPr>
                <w:b/>
              </w:rPr>
              <w:t>1,926</w:t>
            </w:r>
          </w:p>
        </w:tc>
        <w:tc>
          <w:tcPr>
            <w:tcW w:w="158" w:type="dxa"/>
            <w:tcBorders/>
            <w:shd w:fill="CCEEFF" w:val="clear"/>
            <w:vAlign w:val="bottom"/>
          </w:tcPr>
          <w:p>
            <w:pPr>
              <w:pStyle w:val="TableContents"/>
              <w:bidi w:val="0"/>
              <w:spacing w:before="0" w:after="283"/>
              <w:jc w:val="left"/>
              <w:rPr/>
            </w:pPr>
            <w:r>
              <w:rPr/>
              <w:t> </w:t>
            </w:r>
          </w:p>
        </w:tc>
      </w:tr>
      <w:tr>
        <w:trPr/>
        <w:tc>
          <w:tcPr>
            <w:tcW w:w="4594"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 reflects interest expense of $74 million for the six months ended December 27, 2024 and $150 million for the year ended June 28, 2024 based on a weighted-average term loan interest rate of approximately 7.4%. Additionally, interest expense for the six months ended December 27, 2024 and for the year ended June 28, 2024 reflects amortization of deferred debt issuance costs incurred in connection with the issuance of debt as described in Note (A) above, as well as undrawn capacity fees on the revolving credit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facility. A 1/8 percent variance in the assumed interest rate on the floating rate indebtedness would change interest expense by $3 million and $1 million for the fiscal year ended June 28, 2024 and the six months ended December 27, 2024. Also included within the adjustment to interest expense and interest income is the elimination of interest expense and interest income, incurred in connection with Notes due to (from) Parent which were settled or terminated in connection with the spin-off.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adjustments to interest expense: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63"/>
        <w:gridCol w:w="427"/>
        <w:gridCol w:w="505"/>
        <w:gridCol w:w="944"/>
        <w:gridCol w:w="155"/>
        <w:gridCol w:w="427"/>
        <w:gridCol w:w="235"/>
        <w:gridCol w:w="640"/>
        <w:gridCol w:w="159"/>
      </w:tblGrid>
      <w:tr>
        <w:trPr/>
        <w:tc>
          <w:tcPr>
            <w:tcW w:w="4263"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63" w:type="dxa"/>
            <w:tcBorders/>
            <w:vAlign w:val="bottom"/>
          </w:tcPr>
          <w:p>
            <w:pPr>
              <w:pStyle w:val="TableContents"/>
              <w:bidi w:val="0"/>
              <w:spacing w:before="0" w:after="283"/>
              <w:jc w:val="left"/>
              <w:rPr>
                <w:b/>
              </w:rPr>
            </w:pPr>
            <w:r>
              <w:rPr>
                <w:b/>
              </w:rPr>
              <w:t>(in millions)</w:t>
            </w:r>
          </w:p>
        </w:tc>
        <w:tc>
          <w:tcPr>
            <w:tcW w:w="427"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December 27,</w:t>
              <w:br/>
              <w:t>2024</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Year</w:t>
              <w:br/>
              <w:t>ended</w:t>
              <w:br/>
              <w:t>June 28,</w:t>
            </w:r>
            <w:r>
              <w:rPr/>
              <w:br/>
            </w:r>
            <w:r>
              <w:rPr>
                <w:b/>
              </w:rPr>
              <w:t>2024</w:t>
            </w:r>
          </w:p>
        </w:tc>
        <w:tc>
          <w:tcPr>
            <w:tcW w:w="159" w:type="dxa"/>
            <w:tcBorders/>
            <w:vAlign w:val="bottom"/>
          </w:tcPr>
          <w:p>
            <w:pPr>
              <w:pStyle w:val="TableContents"/>
              <w:bidi w:val="0"/>
              <w:spacing w:before="0" w:after="283"/>
              <w:jc w:val="left"/>
              <w:rPr/>
            </w:pPr>
            <w:r>
              <w:rPr/>
              <w:t> </w:t>
            </w:r>
          </w:p>
        </w:tc>
      </w:tr>
      <w:tr>
        <w:trPr/>
        <w:tc>
          <w:tcPr>
            <w:tcW w:w="4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on total debt at estimated weighted average rate of approximately 7.4%</w:t>
            </w:r>
          </w:p>
        </w:tc>
        <w:tc>
          <w:tcPr>
            <w:tcW w:w="427"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150</w:t>
            </w:r>
          </w:p>
        </w:tc>
        <w:tc>
          <w:tcPr>
            <w:tcW w:w="159" w:type="dxa"/>
            <w:tcBorders/>
            <w:shd w:fill="CCEEFF" w:val="clear"/>
            <w:vAlign w:val="bottom"/>
          </w:tcPr>
          <w:p>
            <w:pPr>
              <w:pStyle w:val="TableContents"/>
              <w:bidi w:val="0"/>
              <w:spacing w:before="0" w:after="283"/>
              <w:jc w:val="left"/>
              <w:rPr/>
            </w:pPr>
            <w:r>
              <w:rPr/>
              <w:t> </w:t>
            </w:r>
          </w:p>
        </w:tc>
      </w:tr>
      <w:tr>
        <w:trPr/>
        <w:tc>
          <w:tcPr>
            <w:tcW w:w="4263" w:type="dxa"/>
            <w:tcBorders/>
          </w:tcPr>
          <w:p>
            <w:pPr>
              <w:pStyle w:val="TableContents"/>
              <w:bidi w:val="0"/>
              <w:spacing w:before="0" w:after="0"/>
              <w:jc w:val="left"/>
              <w:rPr>
                <w:rFonts w:ascii="Times New Roman" w:hAnsi="Times New Roman"/>
                <w:sz w:val="20"/>
              </w:rPr>
            </w:pPr>
            <w:r>
              <w:rPr>
                <w:rFonts w:ascii="Times New Roman" w:hAnsi="Times New Roman"/>
                <w:sz w:val="20"/>
              </w:rPr>
              <w:t>Undrawn capacity fee on revolving debt facility</w:t>
            </w:r>
          </w:p>
        </w:tc>
        <w:tc>
          <w:tcPr>
            <w:tcW w:w="427"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4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 and original issue discount</w:t>
            </w:r>
          </w:p>
        </w:tc>
        <w:tc>
          <w:tcPr>
            <w:tcW w:w="427"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8</w:t>
            </w:r>
          </w:p>
        </w:tc>
        <w:tc>
          <w:tcPr>
            <w:tcW w:w="159" w:type="dxa"/>
            <w:tcBorders/>
            <w:shd w:fill="CCEEFF" w:val="clear"/>
            <w:vAlign w:val="bottom"/>
          </w:tcPr>
          <w:p>
            <w:pPr>
              <w:pStyle w:val="TableContents"/>
              <w:bidi w:val="0"/>
              <w:spacing w:before="0" w:after="283"/>
              <w:jc w:val="left"/>
              <w:rPr/>
            </w:pPr>
            <w:r>
              <w:rPr/>
              <w:t> </w:t>
            </w:r>
          </w:p>
        </w:tc>
      </w:tr>
      <w:tr>
        <w:trPr/>
        <w:tc>
          <w:tcPr>
            <w:tcW w:w="4263"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interest expense on notes due to Parent</w:t>
            </w:r>
          </w:p>
        </w:tc>
        <w:tc>
          <w:tcPr>
            <w:tcW w:w="427"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(37</w:t>
            </w:r>
          </w:p>
        </w:tc>
        <w:tc>
          <w:tcPr>
            <w:tcW w:w="159" w:type="dxa"/>
            <w:tcBorders/>
            <w:vAlign w:val="bottom"/>
          </w:tcPr>
          <w:p>
            <w:pPr>
              <w:pStyle w:val="TableContents"/>
              <w:bidi w:val="0"/>
              <w:spacing w:before="0" w:after="283"/>
              <w:jc w:val="left"/>
              <w:rPr/>
            </w:pPr>
            <w:r>
              <w:rPr/>
              <w:t>) </w:t>
            </w:r>
          </w:p>
        </w:tc>
      </w:tr>
      <w:tr>
        <w:trPr/>
        <w:tc>
          <w:tcPr>
            <w:tcW w:w="42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 forma adjustment to interest expense</w:t>
            </w:r>
          </w:p>
        </w:tc>
        <w:tc>
          <w:tcPr>
            <w:tcW w:w="427"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b/>
              </w:rPr>
            </w:pPr>
            <w:r>
              <w:rPr>
                <w:b/>
              </w:rPr>
              <w:t>$</w:t>
            </w:r>
          </w:p>
        </w:tc>
        <w:tc>
          <w:tcPr>
            <w:tcW w:w="944" w:type="dxa"/>
            <w:tcBorders/>
            <w:shd w:fill="CCEEFF" w:val="clear"/>
            <w:vAlign w:val="bottom"/>
          </w:tcPr>
          <w:p>
            <w:pPr>
              <w:pStyle w:val="TableContents"/>
              <w:bidi w:val="0"/>
              <w:spacing w:before="0" w:after="283"/>
              <w:jc w:val="right"/>
              <w:rPr>
                <w:b/>
              </w:rPr>
            </w:pPr>
            <w:r>
              <w:rPr>
                <w:b/>
              </w:rPr>
              <w:t>76</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640" w:type="dxa"/>
            <w:tcBorders/>
            <w:shd w:fill="CCEEFF" w:val="clear"/>
            <w:vAlign w:val="bottom"/>
          </w:tcPr>
          <w:p>
            <w:pPr>
              <w:pStyle w:val="TableContents"/>
              <w:bidi w:val="0"/>
              <w:spacing w:before="0" w:after="283"/>
              <w:jc w:val="right"/>
              <w:rPr>
                <w:b/>
              </w:rPr>
            </w:pPr>
            <w:r>
              <w:rPr>
                <w:b/>
              </w:rPr>
              <w:t>125</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Spin-Off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adjustment to remove employee deferred compensation liabilities that were retained by WDC, which are included in the historical combined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reclassification of WDCs net investment in Sandisk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145 million shares of our common stock with a par value of $0.01 per share pursuant to the separation and distribution agreement. The remaining 19.9% of our common stock continues to be owned by WDC, which WDC will dispose of through one or more subsequent exchanges of our common stock for WDC debt held by WDC creditors and/or through distributions of our common stock to WDC stockholders as dividends or in exchange for outstanding shares of WDC common stock, in each case during the 12-month period following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to additional paid-in-capital are summarized below: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9"/>
        <w:gridCol w:w="642"/>
        <w:gridCol w:w="242"/>
        <w:gridCol w:w="1188"/>
        <w:gridCol w:w="158"/>
      </w:tblGrid>
      <w:tr>
        <w:trPr/>
        <w:tc>
          <w:tcPr>
            <w:tcW w:w="4709" w:type="dxa"/>
            <w:tcBorders/>
            <w:vAlign w:val="center"/>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9" w:type="dxa"/>
            <w:tcBorders/>
            <w:vAlign w:val="bottom"/>
          </w:tcPr>
          <w:p>
            <w:pPr>
              <w:pStyle w:val="TableContents"/>
              <w:bidi w:val="0"/>
              <w:spacing w:before="0" w:after="283"/>
              <w:jc w:val="left"/>
              <w:rPr>
                <w:b/>
              </w:rPr>
            </w:pPr>
            <w:r>
              <w:rPr>
                <w:b/>
              </w:rPr>
              <w:t>(in millions)</w:t>
            </w:r>
          </w:p>
        </w:tc>
        <w:tc>
          <w:tcPr>
            <w:tcW w:w="64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27,</w:t>
              <w:br/>
              <w:t>2024</w:t>
            </w:r>
          </w:p>
        </w:tc>
        <w:tc>
          <w:tcPr>
            <w:tcW w:w="158" w:type="dxa"/>
            <w:tcBorders/>
            <w:vAlign w:val="bottom"/>
          </w:tcPr>
          <w:p>
            <w:pPr>
              <w:pStyle w:val="TableContents"/>
              <w:bidi w:val="0"/>
              <w:spacing w:before="0" w:after="283"/>
              <w:jc w:val="left"/>
              <w:rPr/>
            </w:pPr>
            <w:r>
              <w:rPr/>
              <w:t> </w:t>
            </w:r>
          </w:p>
        </w:tc>
      </w:tr>
      <w:tr>
        <w:trPr/>
        <w:tc>
          <w:tcPr>
            <w:tcW w:w="4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WDCs net investment in Sandisk (Note D)</w:t>
            </w:r>
          </w:p>
        </w:tc>
        <w:tc>
          <w:tcPr>
            <w:tcW w:w="64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12,435</w:t>
            </w:r>
          </w:p>
        </w:tc>
        <w:tc>
          <w:tcPr>
            <w:tcW w:w="158" w:type="dxa"/>
            <w:tcBorders/>
            <w:shd w:fill="CCEEFF" w:val="clear"/>
            <w:vAlign w:val="bottom"/>
          </w:tcPr>
          <w:p>
            <w:pPr>
              <w:pStyle w:val="TableContents"/>
              <w:bidi w:val="0"/>
              <w:spacing w:before="0" w:after="283"/>
              <w:jc w:val="left"/>
              <w:rPr/>
            </w:pPr>
            <w:r>
              <w:rPr/>
              <w:t> </w:t>
            </w:r>
          </w:p>
        </w:tc>
      </w:tr>
      <w:tr>
        <w:trPr/>
        <w:tc>
          <w:tcPr>
            <w:tcW w:w="4709" w:type="dxa"/>
            <w:tcBorders/>
          </w:tcPr>
          <w:p>
            <w:pPr>
              <w:pStyle w:val="TableContents"/>
              <w:bidi w:val="0"/>
              <w:spacing w:before="0" w:after="0"/>
              <w:jc w:val="left"/>
              <w:rPr>
                <w:rFonts w:ascii="Times New Roman" w:hAnsi="Times New Roman"/>
                <w:sz w:val="20"/>
              </w:rPr>
            </w:pPr>
            <w:r>
              <w:rPr>
                <w:rFonts w:ascii="Times New Roman" w:hAnsi="Times New Roman"/>
                <w:sz w:val="20"/>
              </w:rPr>
              <w:t>Cash payment to WDC (Note A)</w:t>
            </w:r>
          </w:p>
        </w:tc>
        <w:tc>
          <w:tcPr>
            <w:tcW w:w="64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(1,403</w:t>
            </w:r>
          </w:p>
        </w:tc>
        <w:tc>
          <w:tcPr>
            <w:tcW w:w="158" w:type="dxa"/>
            <w:tcBorders/>
            <w:vAlign w:val="bottom"/>
          </w:tcPr>
          <w:p>
            <w:pPr>
              <w:pStyle w:val="TableContents"/>
              <w:bidi w:val="0"/>
              <w:spacing w:before="0" w:after="283"/>
              <w:jc w:val="left"/>
              <w:rPr/>
            </w:pPr>
            <w:r>
              <w:rPr/>
              <w:t>) </w:t>
            </w:r>
          </w:p>
        </w:tc>
      </w:tr>
      <w:tr>
        <w:trPr/>
        <w:tc>
          <w:tcPr>
            <w:tcW w:w="4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Notes due to (from) Parent (Note A)</w:t>
            </w:r>
          </w:p>
        </w:tc>
        <w:tc>
          <w:tcPr>
            <w:tcW w:w="64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553</w:t>
            </w:r>
          </w:p>
        </w:tc>
        <w:tc>
          <w:tcPr>
            <w:tcW w:w="158" w:type="dxa"/>
            <w:tcBorders/>
            <w:shd w:fill="CCEEFF" w:val="clear"/>
            <w:vAlign w:val="bottom"/>
          </w:tcPr>
          <w:p>
            <w:pPr>
              <w:pStyle w:val="TableContents"/>
              <w:bidi w:val="0"/>
              <w:spacing w:before="0" w:after="283"/>
              <w:jc w:val="left"/>
              <w:rPr/>
            </w:pPr>
            <w:r>
              <w:rPr/>
              <w:t> </w:t>
            </w:r>
          </w:p>
        </w:tc>
      </w:tr>
      <w:tr>
        <w:trPr/>
        <w:tc>
          <w:tcPr>
            <w:tcW w:w="4709"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 liabilities transferred to WDC (Note C)</w:t>
            </w:r>
          </w:p>
        </w:tc>
        <w:tc>
          <w:tcPr>
            <w:tcW w:w="64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32</w:t>
            </w:r>
          </w:p>
        </w:tc>
        <w:tc>
          <w:tcPr>
            <w:tcW w:w="158" w:type="dxa"/>
            <w:tcBorders/>
            <w:vAlign w:val="bottom"/>
          </w:tcPr>
          <w:p>
            <w:pPr>
              <w:pStyle w:val="TableContents"/>
              <w:bidi w:val="0"/>
              <w:spacing w:before="0" w:after="283"/>
              <w:jc w:val="left"/>
              <w:rPr/>
            </w:pPr>
            <w:r>
              <w:rPr/>
              <w:t> </w:t>
            </w:r>
          </w:p>
        </w:tc>
      </w:tr>
      <w:tr>
        <w:trPr/>
        <w:tc>
          <w:tcPr>
            <w:tcW w:w="4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issuance (Note E)</w:t>
            </w:r>
          </w:p>
        </w:tc>
        <w:tc>
          <w:tcPr>
            <w:tcW w:w="64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4709" w:type="dxa"/>
            <w:tcBorders/>
          </w:tcPr>
          <w:p>
            <w:pPr>
              <w:pStyle w:val="TableContents"/>
              <w:bidi w:val="0"/>
              <w:spacing w:before="0" w:after="0"/>
              <w:jc w:val="left"/>
              <w:rPr>
                <w:rFonts w:ascii="Times New Roman" w:hAnsi="Times New Roman"/>
                <w:sz w:val="20"/>
              </w:rPr>
            </w:pPr>
            <w:r>
              <w:rPr>
                <w:rFonts w:ascii="Times New Roman" w:hAnsi="Times New Roman"/>
                <w:sz w:val="20"/>
              </w:rPr>
              <w:t>Uncertain tax positions (Note G)</w:t>
            </w:r>
          </w:p>
        </w:tc>
        <w:tc>
          <w:tcPr>
            <w:tcW w:w="64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(39</w:t>
            </w:r>
          </w:p>
        </w:tc>
        <w:tc>
          <w:tcPr>
            <w:tcW w:w="158" w:type="dxa"/>
            <w:tcBorders/>
            <w:vAlign w:val="bottom"/>
          </w:tcPr>
          <w:p>
            <w:pPr>
              <w:pStyle w:val="TableContents"/>
              <w:bidi w:val="0"/>
              <w:spacing w:before="0" w:after="283"/>
              <w:jc w:val="left"/>
              <w:rPr/>
            </w:pPr>
            <w:r>
              <w:rPr/>
              <w:t>) </w:t>
            </w:r>
          </w:p>
        </w:tc>
      </w:tr>
      <w:tr>
        <w:trPr/>
        <w:tc>
          <w:tcPr>
            <w:tcW w:w="4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of investment Unis JV from Parent (Note I)</w:t>
            </w:r>
          </w:p>
        </w:tc>
        <w:tc>
          <w:tcPr>
            <w:tcW w:w="64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63</w:t>
            </w:r>
          </w:p>
        </w:tc>
        <w:tc>
          <w:tcPr>
            <w:tcW w:w="158" w:type="dxa"/>
            <w:tcBorders/>
            <w:shd w:fill="CCEEFF" w:val="clear"/>
            <w:vAlign w:val="bottom"/>
          </w:tcPr>
          <w:p>
            <w:pPr>
              <w:pStyle w:val="TableContents"/>
              <w:bidi w:val="0"/>
              <w:spacing w:before="0" w:after="283"/>
              <w:jc w:val="left"/>
              <w:rPr/>
            </w:pPr>
            <w:r>
              <w:rPr/>
              <w:t> </w:t>
            </w:r>
          </w:p>
        </w:tc>
      </w:tr>
      <w:tr>
        <w:trPr/>
        <w:tc>
          <w:tcPr>
            <w:tcW w:w="470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pro forma adjustment to APIC</w:t>
            </w:r>
          </w:p>
        </w:tc>
        <w:tc>
          <w:tcPr>
            <w:tcW w:w="64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b/>
              </w:rPr>
            </w:pPr>
            <w:r>
              <w:rPr>
                <w:b/>
              </w:rPr>
              <w:t>$</w:t>
            </w:r>
          </w:p>
        </w:tc>
        <w:tc>
          <w:tcPr>
            <w:tcW w:w="1188" w:type="dxa"/>
            <w:tcBorders/>
            <w:vAlign w:val="bottom"/>
          </w:tcPr>
          <w:p>
            <w:pPr>
              <w:pStyle w:val="TableContents"/>
              <w:bidi w:val="0"/>
              <w:spacing w:before="0" w:after="283"/>
              <w:jc w:val="right"/>
              <w:rPr>
                <w:b/>
              </w:rPr>
            </w:pPr>
            <w:r>
              <w:rPr>
                <w:b/>
              </w:rPr>
              <w:t>11,640</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addition of liabilities related to uncertain tax provisions (UTPs) and associated deferred tax assets, as well as current and non-current income tax receivables, transferred to Sandisk from WDC. Additionally reflects recognition of liabilities related to indemnification granted by Sandisk to WDC related to certain tax matters. The recognition of these UTPs and deferred tax assets has no impact on the unaudited condensed combined pro forma statement of operations, as the effects of UTPs attributable to Sandisk have been reflected within our historical combined statements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cash transaction bonus expenses of $34 million paid to certain Sandisk employees in connection with the separation from WDC. See Material Agreements with WDCEmployee Matters Agreement for additional details of these cash transaction bonus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transfer of WDCs equity investment in the Unis Venture to Sandisk in accordance with the separation and distribution agreement and associated equity method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additional charges from contracts with vendors incurred related to completion of the spin-off transaction through the spin-off effective date. These charges primarily relate to legal, advisor fees, business separation and other costs. All transaction costs incurred during the six months ended December 27, 2024 and the fiscal year ended June 28, 2024 related to the spin-off are included in our historical combined statements of operations. The pro forma adjustments for the year ended June 28, 2024 include additional charges incurred between December 27, 2024, and the spin-off date of $13 million related to business separation. Actual charges that will be incurred could be different from these estimates. These costs are not expected to recur beyond 12 months after the spin-off. We have not reflected a related adjustment within our pro forma condensed combined balance sheet as of December 27, 2024, as the related liabilities were settled by WDC upon completion of the spin-off.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Separation, outstanding WDC equity awards held by certain of our employees were subject to modification and exchanged for Sandisk equity awards pursuant to the Employee Matters Agreement. This adjustment represents the impact of the exchange and amortization of the incremental fair value of the modified awards over the remaining service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the transaction accounting pro forma adjustments for the six months ended December 27, 2024 and for the fiscal year ended June 28, 2024. This adjustment was primarily calculated by applying the statutory tax rates in the respective jurisdictions to each of the pre-tax pro forma adjustments in jurisdictions where valuation allowances were not required.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 Autonomous Entity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adjustment in the unaudited pro forma condensed combined statement of operations to include the shortfall (excess) of historical compensation and benefits cost allocations compared to actual cost of certain WDC employees who were transferred to Sandisk by WDC upon effectiveness of the spin-off. This adjustment also reflects the incremental compensation expense associated with certain Sandisk executives hired after the reporting date which is partially offset by reduction of expense for the compensation and benefits associated with certain employees of Sandisk who were retained by WDC upon effectiveness of the spin-off. Additionally reflects an adjustment to include or exclude, as appropriate, associated employee-related liabilities within the unaudited pro forma condensed combined balance sheet.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represents the adjustments to compensation and benefits expenses to operating income (loss) for the six months ended December 27,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77"/>
        <w:gridCol w:w="333"/>
        <w:gridCol w:w="362"/>
        <w:gridCol w:w="566"/>
        <w:gridCol w:w="155"/>
        <w:gridCol w:w="333"/>
        <w:gridCol w:w="650"/>
        <w:gridCol w:w="942"/>
        <w:gridCol w:w="60"/>
        <w:gridCol w:w="333"/>
        <w:gridCol w:w="620"/>
        <w:gridCol w:w="878"/>
        <w:gridCol w:w="60"/>
        <w:gridCol w:w="332"/>
        <w:gridCol w:w="566"/>
        <w:gridCol w:w="858"/>
        <w:gridCol w:w="163"/>
      </w:tblGrid>
      <w:tr>
        <w:trPr/>
        <w:tc>
          <w:tcPr>
            <w:tcW w:w="2177"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7" w:type="dxa"/>
            <w:tcBorders/>
            <w:vAlign w:val="bottom"/>
          </w:tcPr>
          <w:p>
            <w:pPr>
              <w:pStyle w:val="TableContents"/>
              <w:bidi w:val="0"/>
              <w:spacing w:before="0" w:after="283"/>
              <w:jc w:val="left"/>
              <w:rPr>
                <w:b/>
              </w:rPr>
            </w:pPr>
            <w:r>
              <w:rPr>
                <w:b/>
              </w:rPr>
              <w:t>(in millions)</w:t>
            </w:r>
          </w:p>
        </w:tc>
        <w:tc>
          <w:tcPr>
            <w:tcW w:w="333"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transfers</w:t>
            </w:r>
            <w:r>
              <w:rPr/>
              <w:br/>
            </w:r>
            <w:r>
              <w:rPr>
                <w:b/>
              </w:rPr>
              <w:t>to WDC</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pPr>
            <w:r>
              <w:rPr>
                <w:b/>
              </w:rPr>
              <w:t>Shortfall</w:t>
              <w:br/>
              <w:t>(excess)</w:t>
            </w:r>
            <w:r>
              <w:rPr/>
              <w:br/>
            </w:r>
            <w:r>
              <w:rPr>
                <w:b/>
              </w:rPr>
              <w:t>of historical</w:t>
              <w:br/>
              <w:t>cost</w:t>
            </w:r>
            <w:r>
              <w:rPr/>
              <w:br/>
            </w:r>
            <w:r>
              <w:rPr>
                <w:b/>
              </w:rPr>
              <w:t>allocations</w:t>
            </w:r>
            <w:r>
              <w:rPr/>
              <w:br/>
            </w:r>
            <w:r>
              <w:rPr>
                <w:b/>
              </w:rPr>
              <w:t>relative to costs</w:t>
            </w:r>
            <w:r>
              <w:rPr/>
              <w:br/>
            </w:r>
            <w:r>
              <w:rPr>
                <w:b/>
              </w:rPr>
              <w:t>of WDC</w:t>
            </w:r>
            <w:r>
              <w:rPr/>
              <w:br/>
            </w:r>
            <w:r>
              <w:rPr>
                <w:b/>
              </w:rPr>
              <w:t>employees</w:t>
            </w:r>
            <w:r>
              <w:rPr/>
              <w:br/>
            </w:r>
            <w:r>
              <w:rPr>
                <w:b/>
              </w:rPr>
              <w:t>transferring to</w:t>
            </w:r>
            <w:r>
              <w:rPr/>
              <w:br/>
            </w:r>
            <w:r>
              <w:rPr>
                <w:b/>
              </w:rPr>
              <w:t>Sandisk</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pPr>
            <w:r>
              <w:rPr>
                <w:b/>
              </w:rPr>
              <w:t>Compensation</w:t>
            </w:r>
            <w:r>
              <w:rPr/>
              <w:br/>
            </w:r>
            <w:r>
              <w:rPr>
                <w:b/>
              </w:rPr>
              <w:t>for Sandisk</w:t>
            </w:r>
            <w:r>
              <w:rPr/>
              <w:br/>
            </w:r>
            <w:r>
              <w:rPr>
                <w:b/>
              </w:rPr>
              <w:t>executives</w:t>
            </w:r>
            <w:r>
              <w:rPr/>
              <w:br/>
            </w:r>
            <w:r>
              <w:rPr>
                <w:b/>
              </w:rPr>
              <w:t>hired after</w:t>
            </w:r>
            <w:r>
              <w:rPr/>
              <w:br/>
            </w:r>
            <w:r>
              <w:rPr>
                <w:b/>
              </w:rPr>
              <w:t>reporting date</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pro forma</w:t>
            </w:r>
            <w:r>
              <w:rPr/>
              <w:br/>
            </w:r>
            <w:r>
              <w:rPr>
                <w:b/>
              </w:rPr>
              <w:t>adjustment to</w:t>
            </w:r>
            <w:r>
              <w:rPr/>
              <w:br/>
            </w:r>
            <w:r>
              <w:rPr>
                <w:b/>
              </w:rPr>
              <w:t>operating</w:t>
            </w:r>
            <w:r>
              <w:rPr/>
              <w:br/>
            </w:r>
            <w:r>
              <w:rPr>
                <w:b/>
              </w:rPr>
              <w:t>income (loss)</w:t>
            </w:r>
          </w:p>
        </w:tc>
        <w:tc>
          <w:tcPr>
            <w:tcW w:w="163" w:type="dxa"/>
            <w:tcBorders/>
            <w:vAlign w:val="bottom"/>
          </w:tcPr>
          <w:p>
            <w:pPr>
              <w:pStyle w:val="TableContents"/>
              <w:bidi w:val="0"/>
              <w:spacing w:before="0" w:after="283"/>
              <w:jc w:val="left"/>
              <w:rPr/>
            </w:pPr>
            <w:r>
              <w:rPr/>
              <w:t> </w:t>
            </w:r>
          </w:p>
        </w:tc>
      </w:tr>
      <w:tr>
        <w:trPr/>
        <w:tc>
          <w:tcPr>
            <w:tcW w:w="2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3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217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3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3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w:t>
            </w:r>
          </w:p>
        </w:tc>
        <w:tc>
          <w:tcPr>
            <w:tcW w:w="163" w:type="dxa"/>
            <w:tcBorders/>
            <w:shd w:fill="CCEEFF" w:val="clear"/>
            <w:vAlign w:val="bottom"/>
          </w:tcPr>
          <w:p>
            <w:pPr>
              <w:pStyle w:val="TableContents"/>
              <w:bidi w:val="0"/>
              <w:spacing w:before="0" w:after="283"/>
              <w:jc w:val="left"/>
              <w:rPr/>
            </w:pPr>
            <w:r>
              <w:rPr/>
              <w:t> </w:t>
            </w:r>
          </w:p>
        </w:tc>
      </w:tr>
      <w:tr>
        <w:trPr/>
        <w:tc>
          <w:tcPr>
            <w:tcW w:w="2177"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b/>
              </w:rPr>
            </w:pPr>
            <w:r>
              <w:rPr>
                <w:b/>
              </w:rPr>
              <w:t>$</w:t>
            </w:r>
          </w:p>
        </w:tc>
        <w:tc>
          <w:tcPr>
            <w:tcW w:w="566" w:type="dxa"/>
            <w:tcBorders/>
            <w:vAlign w:val="bottom"/>
          </w:tcPr>
          <w:p>
            <w:pPr>
              <w:pStyle w:val="TableContents"/>
              <w:bidi w:val="0"/>
              <w:spacing w:before="0" w:after="283"/>
              <w:jc w:val="right"/>
              <w:rPr>
                <w:b/>
              </w:rPr>
            </w:pPr>
            <w:r>
              <w:rPr>
                <w:b/>
              </w:rPr>
              <w:t>(2</w:t>
            </w:r>
          </w:p>
        </w:tc>
        <w:tc>
          <w:tcPr>
            <w:tcW w:w="155" w:type="dxa"/>
            <w:tcBorders/>
            <w:vAlign w:val="bottom"/>
          </w:tcPr>
          <w:p>
            <w:pPr>
              <w:pStyle w:val="TableContents"/>
              <w:bidi w:val="0"/>
              <w:spacing w:before="0" w:after="283"/>
              <w:jc w:val="left"/>
              <w:rPr>
                <w:b/>
              </w:rPr>
            </w:pPr>
            <w:r>
              <w:rPr>
                <w:b/>
              </w:rPr>
              <w:t>) </w:t>
            </w:r>
          </w:p>
        </w:tc>
        <w:tc>
          <w:tcPr>
            <w:tcW w:w="333"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b/>
              </w:rPr>
            </w:pPr>
            <w:r>
              <w:rPr>
                <w:b/>
              </w:rPr>
              <w:t>$</w:t>
            </w:r>
          </w:p>
        </w:tc>
        <w:tc>
          <w:tcPr>
            <w:tcW w:w="942" w:type="dxa"/>
            <w:tcBorders/>
            <w:vAlign w:val="bottom"/>
          </w:tcPr>
          <w:p>
            <w:pPr>
              <w:pStyle w:val="TableContents"/>
              <w:bidi w:val="0"/>
              <w:spacing w:before="0" w:after="283"/>
              <w:jc w:val="right"/>
              <w:rPr>
                <w:b/>
              </w:rPr>
            </w:pPr>
            <w:r>
              <w:rPr>
                <w:b/>
              </w:rPr>
              <w:t>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4</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b/>
              </w:rPr>
            </w:pPr>
            <w:r>
              <w:rPr>
                <w:b/>
              </w:rPr>
              <w:t>$</w:t>
            </w:r>
          </w:p>
        </w:tc>
        <w:tc>
          <w:tcPr>
            <w:tcW w:w="858" w:type="dxa"/>
            <w:tcBorders/>
            <w:vAlign w:val="bottom"/>
          </w:tcPr>
          <w:p>
            <w:pPr>
              <w:pStyle w:val="TableContents"/>
              <w:bidi w:val="0"/>
              <w:spacing w:before="0" w:after="283"/>
              <w:jc w:val="right"/>
              <w:rPr>
                <w:b/>
              </w:rPr>
            </w:pPr>
            <w:r>
              <w:rPr>
                <w:b/>
              </w:rPr>
              <w:t>6</w:t>
            </w:r>
          </w:p>
        </w:tc>
        <w:tc>
          <w:tcPr>
            <w:tcW w:w="1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represents the adjustments to compensation and benefits expenses to operating income (loss) for the year ended June 28,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48"/>
        <w:gridCol w:w="322"/>
        <w:gridCol w:w="271"/>
        <w:gridCol w:w="657"/>
        <w:gridCol w:w="155"/>
        <w:gridCol w:w="322"/>
        <w:gridCol w:w="625"/>
        <w:gridCol w:w="950"/>
        <w:gridCol w:w="155"/>
        <w:gridCol w:w="322"/>
        <w:gridCol w:w="530"/>
        <w:gridCol w:w="971"/>
        <w:gridCol w:w="60"/>
        <w:gridCol w:w="322"/>
        <w:gridCol w:w="477"/>
        <w:gridCol w:w="940"/>
        <w:gridCol w:w="161"/>
      </w:tblGrid>
      <w:tr>
        <w:trPr/>
        <w:tc>
          <w:tcPr>
            <w:tcW w:w="2148"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48" w:type="dxa"/>
            <w:tcBorders/>
            <w:vAlign w:val="bottom"/>
          </w:tcPr>
          <w:p>
            <w:pPr>
              <w:pStyle w:val="TableContents"/>
              <w:bidi w:val="0"/>
              <w:spacing w:before="0" w:after="283"/>
              <w:jc w:val="left"/>
              <w:rPr>
                <w:b/>
              </w:rPr>
            </w:pPr>
            <w:r>
              <w:rPr>
                <w:b/>
              </w:rPr>
              <w:t>(in millions)</w:t>
            </w:r>
          </w:p>
        </w:tc>
        <w:tc>
          <w:tcPr>
            <w:tcW w:w="322"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transfers</w:t>
            </w:r>
            <w:r>
              <w:rPr/>
              <w:br/>
            </w:r>
            <w:r>
              <w:rPr>
                <w:b/>
              </w:rPr>
              <w:t>to WDC</w:t>
            </w:r>
          </w:p>
        </w:tc>
        <w:tc>
          <w:tcPr>
            <w:tcW w:w="1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bottom"/>
          </w:tcPr>
          <w:p>
            <w:pPr>
              <w:pStyle w:val="TableContents"/>
              <w:bidi w:val="0"/>
              <w:spacing w:before="0" w:after="283"/>
              <w:jc w:val="center"/>
              <w:rPr/>
            </w:pPr>
            <w:r>
              <w:rPr>
                <w:b/>
              </w:rPr>
              <w:t>Shortfall</w:t>
              <w:br/>
              <w:t>(excess)</w:t>
            </w:r>
            <w:r>
              <w:rPr/>
              <w:br/>
            </w:r>
            <w:r>
              <w:rPr>
                <w:b/>
              </w:rPr>
              <w:t>of historical</w:t>
              <w:br/>
              <w:t>cost</w:t>
            </w:r>
            <w:r>
              <w:rPr/>
              <w:br/>
            </w:r>
            <w:r>
              <w:rPr>
                <w:b/>
              </w:rPr>
              <w:t>allocations</w:t>
            </w:r>
            <w:r>
              <w:rPr/>
              <w:br/>
            </w:r>
            <w:r>
              <w:rPr>
                <w:b/>
              </w:rPr>
              <w:t>relative to costs</w:t>
            </w:r>
            <w:r>
              <w:rPr/>
              <w:br/>
            </w:r>
            <w:r>
              <w:rPr>
                <w:b/>
              </w:rPr>
              <w:t>of WDC</w:t>
            </w:r>
            <w:r>
              <w:rPr/>
              <w:br/>
            </w:r>
            <w:r>
              <w:rPr>
                <w:b/>
              </w:rPr>
              <w:t>employees</w:t>
            </w:r>
            <w:r>
              <w:rPr/>
              <w:br/>
            </w:r>
            <w:r>
              <w:rPr>
                <w:b/>
              </w:rPr>
              <w:t>transferring to</w:t>
            </w:r>
            <w:r>
              <w:rPr/>
              <w:br/>
            </w:r>
            <w:r>
              <w:rPr>
                <w:b/>
              </w:rPr>
              <w:t>Sandisk</w:t>
            </w:r>
          </w:p>
        </w:tc>
        <w:tc>
          <w:tcPr>
            <w:tcW w:w="1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pPr>
            <w:r>
              <w:rPr>
                <w:b/>
              </w:rPr>
              <w:t>Compensation</w:t>
            </w:r>
            <w:r>
              <w:rPr/>
              <w:br/>
            </w:r>
            <w:r>
              <w:rPr>
                <w:b/>
              </w:rPr>
              <w:t>for Sandisk</w:t>
            </w:r>
            <w:r>
              <w:rPr/>
              <w:br/>
            </w:r>
            <w:r>
              <w:rPr>
                <w:b/>
              </w:rPr>
              <w:t>executives</w:t>
            </w:r>
            <w:r>
              <w:rPr/>
              <w:br/>
            </w:r>
            <w:r>
              <w:rPr>
                <w:b/>
              </w:rPr>
              <w:t>hired after</w:t>
            </w:r>
            <w:r>
              <w:rPr/>
              <w:br/>
            </w:r>
            <w:r>
              <w:rPr>
                <w:b/>
              </w:rPr>
              <w:t>reporting date</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pro forma</w:t>
            </w:r>
            <w:r>
              <w:rPr/>
              <w:br/>
            </w:r>
            <w:r>
              <w:rPr>
                <w:b/>
              </w:rPr>
              <w:t>adjustment to</w:t>
            </w:r>
            <w:r>
              <w:rPr/>
              <w:br/>
            </w:r>
            <w:r>
              <w:rPr>
                <w:b/>
              </w:rPr>
              <w:t>operating</w:t>
            </w:r>
            <w:r>
              <w:rPr/>
              <w:br/>
            </w:r>
            <w:r>
              <w:rPr>
                <w:b/>
              </w:rPr>
              <w:t>income (loss)</w:t>
            </w:r>
          </w:p>
        </w:tc>
        <w:tc>
          <w:tcPr>
            <w:tcW w:w="161" w:type="dxa"/>
            <w:tcBorders/>
            <w:vAlign w:val="bottom"/>
          </w:tcPr>
          <w:p>
            <w:pPr>
              <w:pStyle w:val="TableContents"/>
              <w:bidi w:val="0"/>
              <w:spacing w:before="0" w:after="283"/>
              <w:jc w:val="left"/>
              <w:rPr/>
            </w:pPr>
            <w:r>
              <w:rPr/>
              <w:t> </w:t>
            </w:r>
          </w:p>
        </w:tc>
      </w:tr>
      <w:tr>
        <w:trPr/>
        <w:tc>
          <w:tcPr>
            <w:tcW w:w="2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2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w:t>
            </w:r>
          </w:p>
        </w:tc>
        <w:tc>
          <w:tcPr>
            <w:tcW w:w="95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w:t>
            </w:r>
          </w:p>
        </w:tc>
        <w:tc>
          <w:tcPr>
            <w:tcW w:w="971"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 </w:t>
            </w:r>
            <w:r>
              <w:rPr/>
              <w:t>(9</w:t>
            </w:r>
          </w:p>
        </w:tc>
        <w:tc>
          <w:tcPr>
            <w:tcW w:w="161" w:type="dxa"/>
            <w:tcBorders/>
            <w:shd w:fill="CCEEFF" w:val="clear"/>
            <w:vAlign w:val="bottom"/>
          </w:tcPr>
          <w:p>
            <w:pPr>
              <w:pStyle w:val="TableContents"/>
              <w:bidi w:val="0"/>
              <w:spacing w:before="0" w:after="283"/>
              <w:jc w:val="left"/>
              <w:rPr/>
            </w:pPr>
            <w:r>
              <w:rPr/>
              <w:t>) </w:t>
            </w:r>
          </w:p>
        </w:tc>
      </w:tr>
      <w:tr>
        <w:trPr/>
        <w:tc>
          <w:tcPr>
            <w:tcW w:w="214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2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w:t>
            </w:r>
          </w:p>
        </w:tc>
        <w:tc>
          <w:tcPr>
            <w:tcW w:w="161" w:type="dxa"/>
            <w:tcBorders/>
            <w:vAlign w:val="bottom"/>
          </w:tcPr>
          <w:p>
            <w:pPr>
              <w:pStyle w:val="TableContents"/>
              <w:bidi w:val="0"/>
              <w:spacing w:before="0" w:after="283"/>
              <w:jc w:val="left"/>
              <w:rPr/>
            </w:pPr>
            <w:r>
              <w:rPr/>
              <w:t>) </w:t>
            </w:r>
          </w:p>
        </w:tc>
      </w:tr>
      <w:tr>
        <w:trPr/>
        <w:tc>
          <w:tcPr>
            <w:tcW w:w="2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2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29</w:t>
            </w:r>
          </w:p>
        </w:tc>
        <w:tc>
          <w:tcPr>
            <w:tcW w:w="161" w:type="dxa"/>
            <w:tcBorders/>
            <w:shd w:fill="CCEEFF" w:val="clear"/>
            <w:vAlign w:val="bottom"/>
          </w:tcPr>
          <w:p>
            <w:pPr>
              <w:pStyle w:val="TableContents"/>
              <w:bidi w:val="0"/>
              <w:spacing w:before="0" w:after="283"/>
              <w:jc w:val="left"/>
              <w:rPr/>
            </w:pPr>
            <w:r>
              <w:rPr/>
              <w:t> </w:t>
            </w:r>
          </w:p>
        </w:tc>
      </w:tr>
      <w:tr>
        <w:trPr/>
        <w:tc>
          <w:tcPr>
            <w:tcW w:w="214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657" w:type="dxa"/>
            <w:tcBorders/>
            <w:vAlign w:val="bottom"/>
          </w:tcPr>
          <w:p>
            <w:pPr>
              <w:pStyle w:val="TableContents"/>
              <w:bidi w:val="0"/>
              <w:spacing w:before="0" w:after="283"/>
              <w:jc w:val="right"/>
              <w:rPr>
                <w:b/>
              </w:rPr>
            </w:pPr>
            <w:r>
              <w:rPr>
                <w:b/>
              </w:rPr>
              <w:t>(12</w:t>
            </w:r>
          </w:p>
        </w:tc>
        <w:tc>
          <w:tcPr>
            <w:tcW w:w="155" w:type="dxa"/>
            <w:tcBorders/>
            <w:vAlign w:val="bottom"/>
          </w:tcPr>
          <w:p>
            <w:pPr>
              <w:pStyle w:val="TableContents"/>
              <w:bidi w:val="0"/>
              <w:spacing w:before="0" w:after="283"/>
              <w:jc w:val="left"/>
              <w:rPr>
                <w:b/>
              </w:rPr>
            </w:pPr>
            <w:r>
              <w:rPr>
                <w:b/>
              </w:rPr>
              <w:t>) </w:t>
            </w:r>
          </w:p>
        </w:tc>
        <w:tc>
          <w:tcPr>
            <w:tcW w:w="322"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b/>
              </w:rPr>
            </w:pPr>
            <w:r>
              <w:rPr>
                <w:b/>
              </w:rPr>
              <w:t>$</w:t>
            </w:r>
          </w:p>
        </w:tc>
        <w:tc>
          <w:tcPr>
            <w:tcW w:w="950" w:type="dxa"/>
            <w:tcBorders/>
            <w:vAlign w:val="bottom"/>
          </w:tcPr>
          <w:p>
            <w:pPr>
              <w:pStyle w:val="TableContents"/>
              <w:bidi w:val="0"/>
              <w:spacing w:before="0" w:after="283"/>
              <w:jc w:val="right"/>
              <w:rPr>
                <w:b/>
              </w:rPr>
            </w:pPr>
            <w:r>
              <w:rPr>
                <w:b/>
              </w:rPr>
              <w:t>1</w:t>
            </w:r>
          </w:p>
        </w:tc>
        <w:tc>
          <w:tcPr>
            <w:tcW w:w="155"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b/>
              </w:rPr>
            </w:pPr>
            <w:r>
              <w:rPr>
                <w:b/>
              </w:rPr>
              <w:t>$</w:t>
            </w:r>
          </w:p>
        </w:tc>
        <w:tc>
          <w:tcPr>
            <w:tcW w:w="971" w:type="dxa"/>
            <w:tcBorders/>
            <w:vAlign w:val="bottom"/>
          </w:tcPr>
          <w:p>
            <w:pPr>
              <w:pStyle w:val="TableContents"/>
              <w:bidi w:val="0"/>
              <w:spacing w:before="0" w:after="283"/>
              <w:jc w:val="right"/>
              <w:rPr>
                <w:b/>
              </w:rPr>
            </w:pPr>
            <w:r>
              <w:rPr>
                <w:b/>
              </w:rPr>
              <w:t>22</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b/>
              </w:rPr>
            </w:pPr>
            <w:r>
              <w:rPr>
                <w:b/>
              </w:rPr>
              <w:t>$</w:t>
            </w:r>
          </w:p>
        </w:tc>
        <w:tc>
          <w:tcPr>
            <w:tcW w:w="940" w:type="dxa"/>
            <w:tcBorders/>
            <w:vAlign w:val="bottom"/>
          </w:tcPr>
          <w:p>
            <w:pPr>
              <w:pStyle w:val="TableContents"/>
              <w:bidi w:val="0"/>
              <w:spacing w:before="0" w:after="283"/>
              <w:jc w:val="right"/>
              <w:rPr>
                <w:b/>
              </w:rPr>
            </w:pPr>
            <w:r>
              <w:rPr>
                <w:b/>
              </w:rPr>
              <w:t>11</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$17 million for the fiscal year ended June 28, 2024, of certain transition services costs associated with the transition services agreement we entered into with WDC. The costs are primarily associated with information technology services and corporate support functions. Adjustment is presented net of $9 million in fees we expect to charge WDC under a reverse transition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net impact of lease arrangements with third parties and sub-lease arrangements with WDC for corporate offices and data centers that have been entered into prior to the spin-off. These adjustments record the right-of-use assets and related operating lease liabilities based on the estimated present value of the lease payments over the lease term. Differences between the costs historically allocated to us and included within our historical combined statements of operations and the costs which we expect to incur as a standalone company have been reflected as an autonomous entity adjustment (see Note (Q)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P.</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the autonomous entity pro forma adjustments and the expected effects of the separation and distribution agreement and the tax matters agreement for the six months ended December 27, 2024 and for the fiscal year ended June 28, 2024. This adjustment was primarily calculated by applying the statutory tax rates in the respective jurisdictions to each of the pre-tax pro forma adjustments in jurisdictions where valuation allowances were not required.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Q.</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represents the difference between the historically allocated facilities expenses incurred by Sandisk and the future expected costs based upon the facilities transferred to or from Sandisk and contracts entered into by Sandisk in connection with the spin-off.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represents the adjustments to facilities expenses to operating income (loss) for the three months ended December 27,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80"/>
        <w:gridCol w:w="220"/>
        <w:gridCol w:w="546"/>
        <w:gridCol w:w="547"/>
        <w:gridCol w:w="66"/>
        <w:gridCol w:w="233"/>
        <w:gridCol w:w="360"/>
        <w:gridCol w:w="564"/>
        <w:gridCol w:w="155"/>
        <w:gridCol w:w="162"/>
        <w:gridCol w:w="546"/>
        <w:gridCol w:w="546"/>
        <w:gridCol w:w="60"/>
        <w:gridCol w:w="220"/>
        <w:gridCol w:w="362"/>
        <w:gridCol w:w="562"/>
        <w:gridCol w:w="155"/>
        <w:gridCol w:w="162"/>
        <w:gridCol w:w="423"/>
        <w:gridCol w:w="423"/>
        <w:gridCol w:w="60"/>
        <w:gridCol w:w="220"/>
        <w:gridCol w:w="464"/>
        <w:gridCol w:w="703"/>
        <w:gridCol w:w="166"/>
      </w:tblGrid>
      <w:tr>
        <w:trPr/>
        <w:tc>
          <w:tcPr>
            <w:tcW w:w="228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Owned Facilities</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4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Leases and Sub-leases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2280" w:type="dxa"/>
            <w:tcBorders/>
            <w:vAlign w:val="bottom"/>
          </w:tcPr>
          <w:p>
            <w:pPr>
              <w:pStyle w:val="TableContents"/>
              <w:bidi w:val="0"/>
              <w:spacing w:before="0" w:after="283"/>
              <w:jc w:val="left"/>
              <w:rPr>
                <w:b/>
              </w:rPr>
            </w:pPr>
            <w:r>
              <w:rPr>
                <w:b/>
              </w:rPr>
              <w:t>(in millions)</w:t>
            </w:r>
          </w:p>
        </w:tc>
        <w:tc>
          <w:tcPr>
            <w:tcW w:w="220"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pPr>
            <w:r>
              <w:rPr>
                <w:b/>
              </w:rPr>
              <w:t>WDC</w:t>
            </w:r>
            <w:r>
              <w:rPr/>
              <w:br/>
            </w:r>
            <w:r>
              <w:rPr>
                <w:b/>
              </w:rPr>
              <w:t>transfers</w:t>
            </w:r>
            <w:r>
              <w:rPr/>
              <w:br/>
            </w:r>
            <w:r>
              <w:rPr>
                <w:b/>
              </w:rPr>
              <w:t>to Sandisk</w:t>
            </w:r>
            <w:r>
              <w:rPr/>
              <w:br/>
            </w:r>
            <w:r>
              <w:rPr>
                <w:b/>
              </w:rPr>
              <w:t>(Note C)</w:t>
            </w:r>
          </w:p>
        </w:tc>
        <w:tc>
          <w:tcPr>
            <w:tcW w:w="6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transfers</w:t>
            </w:r>
            <w:r>
              <w:rPr/>
              <w:br/>
            </w:r>
            <w:r>
              <w:rPr>
                <w:b/>
              </w:rPr>
              <w:t>to WDC</w:t>
            </w:r>
            <w:r>
              <w:rPr/>
              <w:br/>
            </w:r>
            <w:r>
              <w:rPr>
                <w:b/>
              </w:rPr>
              <w:t>(Note D)</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pPr>
            <w:r>
              <w:rPr>
                <w:b/>
              </w:rPr>
              <w:t>WDC</w:t>
            </w:r>
            <w:r>
              <w:rPr/>
              <w:br/>
            </w:r>
            <w:r>
              <w:rPr>
                <w:b/>
              </w:rPr>
              <w:t>transfers</w:t>
            </w:r>
            <w:r>
              <w:rPr/>
              <w:br/>
            </w:r>
            <w:r>
              <w:rPr>
                <w:b/>
              </w:rPr>
              <w:t>to Sandisk</w:t>
            </w:r>
            <w:r>
              <w:rPr/>
              <w:br/>
            </w:r>
            <w:r>
              <w:rPr>
                <w:b/>
              </w:rPr>
              <w:t>(Note C)</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transfers</w:t>
            </w:r>
            <w:r>
              <w:rPr/>
              <w:br/>
            </w:r>
            <w:r>
              <w:rPr>
                <w:b/>
              </w:rPr>
              <w:t>to WDC</w:t>
            </w:r>
            <w:r>
              <w:rPr/>
              <w:br/>
            </w:r>
            <w:r>
              <w:rPr>
                <w:b/>
              </w:rPr>
              <w:t>(Note D)</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pPr>
            <w:r>
              <w:rPr>
                <w:b/>
              </w:rPr>
              <w:t>New</w:t>
            </w:r>
            <w:r>
              <w:rPr/>
              <w:br/>
            </w:r>
            <w:r>
              <w:rPr>
                <w:b/>
              </w:rPr>
              <w:t>Sandisk</w:t>
            </w:r>
            <w:r>
              <w:rPr/>
              <w:br/>
            </w:r>
            <w:r>
              <w:rPr>
                <w:b/>
              </w:rPr>
              <w:t>leases</w:t>
            </w:r>
            <w:r>
              <w:rPr/>
              <w:br/>
            </w:r>
            <w:r>
              <w:rPr>
                <w:b/>
              </w:rPr>
              <w:t>(Note Q)</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pro forma</w:t>
            </w:r>
            <w:r>
              <w:rPr/>
              <w:br/>
            </w:r>
            <w:r>
              <w:rPr>
                <w:b/>
              </w:rPr>
              <w:t>adjustment</w:t>
              <w:br/>
              <w:t>to</w:t>
            </w:r>
            <w:r>
              <w:rPr/>
              <w:br/>
            </w:r>
            <w:r>
              <w:rPr>
                <w:b/>
              </w:rPr>
              <w:t>operating</w:t>
            </w:r>
            <w:r>
              <w:rPr/>
              <w:br/>
            </w:r>
            <w:r>
              <w:rPr>
                <w:b/>
              </w:rPr>
              <w:t>income</w:t>
              <w:br/>
              <w:t>(loss)</w:t>
            </w:r>
          </w:p>
        </w:tc>
        <w:tc>
          <w:tcPr>
            <w:tcW w:w="166" w:type="dxa"/>
            <w:tcBorders/>
            <w:vAlign w:val="bottom"/>
          </w:tcPr>
          <w:p>
            <w:pPr>
              <w:pStyle w:val="TableContents"/>
              <w:bidi w:val="0"/>
              <w:spacing w:before="0" w:after="283"/>
              <w:jc w:val="left"/>
              <w:rPr/>
            </w:pPr>
            <w:r>
              <w:rPr/>
              <w:t> </w:t>
            </w:r>
          </w:p>
        </w:tc>
      </w:tr>
      <w:tr>
        <w:trPr/>
        <w:tc>
          <w:tcPr>
            <w:tcW w:w="2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w:t>
            </w:r>
          </w:p>
        </w:tc>
        <w:tc>
          <w:tcPr>
            <w:tcW w:w="547" w:type="dxa"/>
            <w:tcBorders/>
            <w:shd w:fill="CCEEFF" w:val="clear"/>
            <w:vAlign w:val="bottom"/>
          </w:tcPr>
          <w:p>
            <w:pPr>
              <w:pStyle w:val="TableContents"/>
              <w:bidi w:val="0"/>
              <w:spacing w:before="0" w:after="283"/>
              <w:jc w:val="right"/>
              <w:rPr/>
            </w:pPr>
            <w:r>
              <w:rPr/>
              <w:t>2</w:t>
            </w:r>
          </w:p>
        </w:tc>
        <w:tc>
          <w:tcPr>
            <w:tcW w:w="6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w:t>
            </w:r>
          </w:p>
        </w:tc>
        <w:tc>
          <w:tcPr>
            <w:tcW w:w="54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w:t>
            </w:r>
          </w:p>
        </w:tc>
        <w:tc>
          <w:tcPr>
            <w:tcW w:w="42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228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2</w:t>
            </w:r>
          </w:p>
        </w:tc>
        <w:tc>
          <w:tcPr>
            <w:tcW w:w="166" w:type="dxa"/>
            <w:tcBorders/>
            <w:vAlign w:val="bottom"/>
          </w:tcPr>
          <w:p>
            <w:pPr>
              <w:pStyle w:val="TableContents"/>
              <w:bidi w:val="0"/>
              <w:spacing w:before="0" w:after="283"/>
              <w:jc w:val="left"/>
              <w:rPr/>
            </w:pPr>
            <w:r>
              <w:rPr/>
              <w:t> </w:t>
            </w:r>
          </w:p>
        </w:tc>
      </w:tr>
      <w:tr>
        <w:trPr/>
        <w:tc>
          <w:tcPr>
            <w:tcW w:w="2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0"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228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b/>
              </w:rPr>
            </w:pPr>
            <w:r>
              <w:rPr>
                <w:b/>
              </w:rPr>
              <w:t>$</w:t>
            </w:r>
          </w:p>
        </w:tc>
        <w:tc>
          <w:tcPr>
            <w:tcW w:w="547" w:type="dxa"/>
            <w:tcBorders/>
            <w:vAlign w:val="bottom"/>
          </w:tcPr>
          <w:p>
            <w:pPr>
              <w:pStyle w:val="TableContents"/>
              <w:bidi w:val="0"/>
              <w:spacing w:before="0" w:after="283"/>
              <w:jc w:val="right"/>
              <w:rPr>
                <w:b/>
              </w:rPr>
            </w:pPr>
            <w:r>
              <w:rPr>
                <w:b/>
              </w:rPr>
              <w:t>2</w:t>
            </w:r>
          </w:p>
        </w:tc>
        <w:tc>
          <w:tcPr>
            <w:tcW w:w="6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b/>
              </w:rPr>
            </w:pPr>
            <w:r>
              <w:rPr>
                <w:b/>
              </w:rPr>
              <w:t>$</w:t>
            </w:r>
          </w:p>
        </w:tc>
        <w:tc>
          <w:tcPr>
            <w:tcW w:w="546" w:type="dxa"/>
            <w:tcBorders/>
            <w:vAlign w:val="bottom"/>
          </w:tcPr>
          <w:p>
            <w:pPr>
              <w:pStyle w:val="TableContents"/>
              <w:bidi w:val="0"/>
              <w:spacing w:before="0" w:after="283"/>
              <w:jc w:val="right"/>
              <w:rPr>
                <w:b/>
              </w:rPr>
            </w:pPr>
            <w:r>
              <w:rPr>
                <w:b/>
              </w:rPr>
              <w:t>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b/>
              </w:rPr>
            </w:pPr>
            <w:r>
              <w:rPr>
                <w:b/>
              </w:rPr>
              <w:t>$</w:t>
            </w:r>
          </w:p>
        </w:tc>
        <w:tc>
          <w:tcPr>
            <w:tcW w:w="562" w:type="dxa"/>
            <w:tcBorders/>
            <w:vAlign w:val="bottom"/>
          </w:tcPr>
          <w:p>
            <w:pPr>
              <w:pStyle w:val="TableContents"/>
              <w:bidi w:val="0"/>
              <w:spacing w:before="0" w:after="283"/>
              <w:jc w:val="right"/>
              <w:rPr>
                <w:b/>
              </w:rPr>
            </w:pPr>
            <w:r>
              <w:rPr>
                <w:b/>
              </w:rPr>
              <w:t>(4</w:t>
            </w:r>
          </w:p>
        </w:tc>
        <w:tc>
          <w:tcPr>
            <w:tcW w:w="155"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b/>
              </w:rPr>
            </w:pPr>
            <w:r>
              <w:rPr>
                <w:b/>
              </w:rPr>
              <w:t>$</w:t>
            </w:r>
          </w:p>
        </w:tc>
        <w:tc>
          <w:tcPr>
            <w:tcW w:w="423"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b/>
              </w:rPr>
            </w:pPr>
            <w:r>
              <w:rPr>
                <w:b/>
              </w:rPr>
              <w:t>$</w:t>
            </w:r>
          </w:p>
        </w:tc>
        <w:tc>
          <w:tcPr>
            <w:tcW w:w="703" w:type="dxa"/>
            <w:tcBorders/>
            <w:vAlign w:val="bottom"/>
          </w:tcPr>
          <w:p>
            <w:pPr>
              <w:pStyle w:val="TableContents"/>
              <w:bidi w:val="0"/>
              <w:spacing w:before="0" w:after="283"/>
              <w:jc w:val="right"/>
              <w:rPr>
                <w:b/>
              </w:rPr>
            </w:pPr>
            <w:r>
              <w:rPr>
                <w:b/>
              </w:rPr>
              <w:t>2</w:t>
            </w:r>
          </w:p>
        </w:tc>
        <w:tc>
          <w:tcPr>
            <w:tcW w:w="1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represents the adjustments to facilities expenses to operating income (loss) for the year ended June 28,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4"/>
        <w:gridCol w:w="226"/>
        <w:gridCol w:w="547"/>
        <w:gridCol w:w="547"/>
        <w:gridCol w:w="60"/>
        <w:gridCol w:w="226"/>
        <w:gridCol w:w="271"/>
        <w:gridCol w:w="650"/>
        <w:gridCol w:w="155"/>
        <w:gridCol w:w="168"/>
        <w:gridCol w:w="389"/>
        <w:gridCol w:w="727"/>
        <w:gridCol w:w="60"/>
        <w:gridCol w:w="225"/>
        <w:gridCol w:w="271"/>
        <w:gridCol w:w="650"/>
        <w:gridCol w:w="155"/>
        <w:gridCol w:w="168"/>
        <w:gridCol w:w="290"/>
        <w:gridCol w:w="545"/>
        <w:gridCol w:w="60"/>
        <w:gridCol w:w="226"/>
        <w:gridCol w:w="352"/>
        <w:gridCol w:w="837"/>
        <w:gridCol w:w="166"/>
      </w:tblGrid>
      <w:tr>
        <w:trPr/>
        <w:tc>
          <w:tcPr>
            <w:tcW w:w="223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3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Owned Facilities</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Leases and Sub-leases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b/>
              </w:rPr>
            </w:pPr>
            <w:r>
              <w:rPr>
                <w:b/>
              </w:rPr>
              <w:t>(in millions)</w:t>
            </w:r>
          </w:p>
        </w:tc>
        <w:tc>
          <w:tcPr>
            <w:tcW w:w="226"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pPr>
            <w:r>
              <w:rPr>
                <w:b/>
              </w:rPr>
              <w:t>WDC</w:t>
            </w:r>
            <w:r>
              <w:rPr/>
              <w:br/>
            </w:r>
            <w:r>
              <w:rPr>
                <w:b/>
              </w:rPr>
              <w:t>transfers</w:t>
            </w:r>
            <w:r>
              <w:rPr/>
              <w:br/>
            </w:r>
            <w:r>
              <w:rPr>
                <w:b/>
              </w:rPr>
              <w:t>to Sandisk</w:t>
            </w:r>
            <w:r>
              <w:rPr/>
              <w:br/>
            </w:r>
            <w:r>
              <w:rPr>
                <w:b/>
              </w:rPr>
              <w:t>(Note C)</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transfers</w:t>
            </w:r>
            <w:r>
              <w:rPr/>
              <w:br/>
            </w:r>
            <w:r>
              <w:rPr>
                <w:b/>
              </w:rPr>
              <w:t>to WDC</w:t>
            </w:r>
            <w:r>
              <w:rPr/>
              <w:br/>
            </w:r>
            <w:r>
              <w:rPr>
                <w:b/>
              </w:rPr>
              <w:t>(Note D)</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pPr>
            <w:r>
              <w:rPr>
                <w:b/>
              </w:rPr>
              <w:t>WDC</w:t>
            </w:r>
            <w:r>
              <w:rPr/>
              <w:br/>
            </w:r>
            <w:r>
              <w:rPr>
                <w:b/>
              </w:rPr>
              <w:t>transfers</w:t>
            </w:r>
            <w:r>
              <w:rPr/>
              <w:br/>
            </w:r>
            <w:r>
              <w:rPr>
                <w:b/>
              </w:rPr>
              <w:t>to Sandisk</w:t>
            </w:r>
            <w:r>
              <w:rPr/>
              <w:br/>
            </w:r>
            <w:r>
              <w:rPr>
                <w:b/>
              </w:rPr>
              <w:t>(Note C)</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pPr>
            <w:r>
              <w:rPr>
                <w:b/>
              </w:rPr>
              <w:t>Sandisk</w:t>
            </w:r>
            <w:r>
              <w:rPr/>
              <w:br/>
            </w:r>
            <w:r>
              <w:rPr>
                <w:b/>
              </w:rPr>
              <w:t>transfers</w:t>
            </w:r>
            <w:r>
              <w:rPr/>
              <w:br/>
            </w:r>
            <w:r>
              <w:rPr>
                <w:b/>
              </w:rPr>
              <w:t>to WDC</w:t>
            </w:r>
            <w:r>
              <w:rPr/>
              <w:br/>
            </w:r>
            <w:r>
              <w:rPr>
                <w:b/>
              </w:rPr>
              <w:t>(Note D)</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pPr>
            <w:r>
              <w:rPr>
                <w:b/>
              </w:rPr>
              <w:t>New</w:t>
            </w:r>
            <w:r>
              <w:rPr/>
              <w:br/>
            </w:r>
            <w:r>
              <w:rPr>
                <w:b/>
              </w:rPr>
              <w:t>Sandisk</w:t>
            </w:r>
            <w:r>
              <w:rPr/>
              <w:br/>
            </w:r>
            <w:r>
              <w:rPr>
                <w:b/>
              </w:rPr>
              <w:t>leases</w:t>
            </w:r>
            <w:r>
              <w:rPr/>
              <w:br/>
            </w:r>
            <w:r>
              <w:rPr>
                <w:b/>
              </w:rPr>
              <w:t>(Note Q)</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pro forma</w:t>
            </w:r>
            <w:r>
              <w:rPr/>
              <w:br/>
            </w:r>
            <w:r>
              <w:rPr>
                <w:b/>
              </w:rPr>
              <w:t>adjustment</w:t>
              <w:br/>
              <w:t>to</w:t>
            </w:r>
            <w:r>
              <w:rPr/>
              <w:br/>
            </w:r>
            <w:r>
              <w:rPr>
                <w:b/>
              </w:rPr>
              <w:t>operating</w:t>
            </w:r>
            <w:r>
              <w:rPr/>
              <w:br/>
            </w:r>
            <w:r>
              <w:rPr>
                <w:b/>
              </w:rPr>
              <w:t>income</w:t>
              <w:br/>
              <w:t>(loss)</w:t>
            </w:r>
          </w:p>
        </w:tc>
        <w:tc>
          <w:tcPr>
            <w:tcW w:w="166"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w:t>
            </w:r>
          </w:p>
        </w:tc>
        <w:tc>
          <w:tcPr>
            <w:tcW w:w="547"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837" w:type="dxa"/>
            <w:tcBorders/>
            <w:shd w:fill="CCEEFF" w:val="clear"/>
            <w:vAlign w:val="bottom"/>
          </w:tcPr>
          <w:p>
            <w:pPr>
              <w:pStyle w:val="TableContents"/>
              <w:bidi w:val="0"/>
              <w:spacing w:before="0" w:after="283"/>
              <w:jc w:val="right"/>
              <w:rPr/>
            </w:pPr>
            <w:r>
              <w:rPr/>
              <w:t>(10</w:t>
            </w:r>
          </w:p>
        </w:tc>
        <w:tc>
          <w:tcPr>
            <w:tcW w:w="166"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(2</w:t>
            </w:r>
          </w:p>
        </w:tc>
        <w:tc>
          <w:tcPr>
            <w:tcW w:w="166"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6"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b/>
              </w:rPr>
            </w:pPr>
            <w:r>
              <w:rPr>
                <w:b/>
              </w:rPr>
              <w:t>$</w:t>
            </w:r>
          </w:p>
        </w:tc>
        <w:tc>
          <w:tcPr>
            <w:tcW w:w="547"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650" w:type="dxa"/>
            <w:tcBorders/>
            <w:vAlign w:val="bottom"/>
          </w:tcPr>
          <w:p>
            <w:pPr>
              <w:pStyle w:val="TableContents"/>
              <w:bidi w:val="0"/>
              <w:spacing w:before="0" w:after="283"/>
              <w:jc w:val="right"/>
              <w:rPr>
                <w:b/>
              </w:rPr>
            </w:pPr>
            <w:r>
              <w:rPr>
                <w:b/>
              </w:rPr>
              <w:t>(21</w:t>
            </w:r>
          </w:p>
        </w:tc>
        <w:tc>
          <w:tcPr>
            <w:tcW w:w="155" w:type="dxa"/>
            <w:tcBorders/>
            <w:vAlign w:val="bottom"/>
          </w:tcPr>
          <w:p>
            <w:pPr>
              <w:pStyle w:val="TableContents"/>
              <w:bidi w:val="0"/>
              <w:spacing w:before="0" w:after="283"/>
              <w:jc w:val="left"/>
              <w:rPr>
                <w:b/>
              </w:rPr>
            </w:pPr>
            <w:r>
              <w:rPr>
                <w:b/>
              </w:rPr>
              <w:t>) </w:t>
            </w:r>
          </w:p>
        </w:tc>
        <w:tc>
          <w:tcPr>
            <w:tcW w:w="16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b/>
              </w:rPr>
            </w:pPr>
            <w:r>
              <w:rPr>
                <w:b/>
              </w:rPr>
              <w:t>$</w:t>
            </w:r>
          </w:p>
        </w:tc>
        <w:tc>
          <w:tcPr>
            <w:tcW w:w="727" w:type="dxa"/>
            <w:tcBorders/>
            <w:vAlign w:val="bottom"/>
          </w:tcPr>
          <w:p>
            <w:pPr>
              <w:pStyle w:val="TableContents"/>
              <w:bidi w:val="0"/>
              <w:spacing w:before="0" w:after="283"/>
              <w:jc w:val="right"/>
              <w:rPr>
                <w:b/>
              </w:rPr>
            </w:pPr>
            <w:r>
              <w:rPr>
                <w:b/>
              </w:rPr>
              <w:t>13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650"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168"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545" w:type="dxa"/>
            <w:tcBorders/>
            <w:vAlign w:val="bottom"/>
          </w:tcPr>
          <w:p>
            <w:pPr>
              <w:pStyle w:val="TableContents"/>
              <w:bidi w:val="0"/>
              <w:spacing w:before="0" w:after="283"/>
              <w:jc w:val="right"/>
              <w:rPr>
                <w:b/>
              </w:rPr>
            </w:pPr>
            <w:r>
              <w:rPr>
                <w:b/>
              </w:rPr>
              <w:t>20</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b/>
              </w:rPr>
            </w:pPr>
            <w:r>
              <w:rPr>
                <w:b/>
              </w:rPr>
              <w:t>$</w:t>
            </w:r>
          </w:p>
        </w:tc>
        <w:tc>
          <w:tcPr>
            <w:tcW w:w="837" w:type="dxa"/>
            <w:tcBorders/>
            <w:vAlign w:val="bottom"/>
          </w:tcPr>
          <w:p>
            <w:pPr>
              <w:pStyle w:val="TableContents"/>
              <w:bidi w:val="0"/>
              <w:spacing w:before="0" w:after="283"/>
              <w:jc w:val="right"/>
              <w:rPr>
                <w:b/>
              </w:rPr>
            </w:pPr>
            <w:r>
              <w:rPr>
                <w:b/>
              </w:rPr>
              <w:t>(11</w:t>
            </w:r>
          </w:p>
        </w:tc>
        <w:tc>
          <w:tcPr>
            <w:tcW w:w="166" w:type="dxa"/>
            <w:tcBorders/>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Pro Forma 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Pro forma basic and diluted earnings (loss) per share and pro forma weighted-average basic and diluted shares outstanding for the six months ended December 27, 2024 and for the fiscal year ended June 28, 2024, reflect the number of shares of our common stock which were outstanding upon completion of the spin-off (see Note (E) above). As Sandisk has a loss in the unaudited pro forma condensed combined statement of operations for the fiscal year ended June 28, 2024, the potentially dilutive shares are anti-dilutive and therefore they are not added into the earnings per share calculation. The weighted-average number of shares used to compute pro forma diluted earnings per share for the six months ended December 27, 2024 represents the dilutive impacts of equity awards outstanding as of, or issued in connection with, the spin-off and the subsequent expected pattern of vesting for those awards under Sandisk equity-based compensation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934557_11"/>
      <w:bookmarkEnd w:id="13"/>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should be read in conjunction with the unaudited Condensed Combined Financial Statements and related Notes and the audited Combined Financial Statements and related Notes included in this prospectus, as well as the information contained in the sections of this prospectus titled Unaudited Pro Forma Condensed Combined Financial Information and Business. The section of this prospectus titled Managements Discussion and Analysis of Financial Condition and Results of Operations contains forward-looking statements. See the sections of the prospectus titled Cautionary Statement Concerning Forward-Looking Statements and Risk Factors for a discussion of the uncertainties, risks and assumptions associated with these forward-looking statements that could cause future results to differ materially from those reflected in this section. </w:t>
      </w:r>
    </w:p>
    <w:p>
      <w:pPr>
        <w:pStyle w:val="TextBody"/>
        <w:bidi w:val="0"/>
        <w:spacing w:before="240" w:after="0"/>
        <w:jc w:val="left"/>
        <w:rPr>
          <w:rFonts w:ascii="Times New Roman" w:hAnsi="Times New Roman"/>
          <w:i/>
          <w:sz w:val="20"/>
        </w:rPr>
      </w:pPr>
      <w:r>
        <w:rPr>
          <w:rFonts w:ascii="Times New Roman" w:hAnsi="Times New Roman"/>
          <w:i/>
          <w:sz w:val="20"/>
        </w:rPr>
        <w:t xml:space="preserve">The unaudited Condensed Combined Financial Statements and audited Combined Financial Statements included in this prospectus have been derived from WDCs historical accounting records and are presented on a standalone basis as if Sandisks operations had been conducted independently from WDC. The unaudited Condensed Combined Financial Statements and audited Combined Financial Statements have been prepared in accordance with GAAP, by aggregating financial information from the components of Sandisk and WDCs accounting records directly attributable to Sandisk. </w:t>
      </w:r>
    </w:p>
    <w:p>
      <w:pPr>
        <w:pStyle w:val="TextBody"/>
        <w:bidi w:val="0"/>
        <w:spacing w:before="240" w:after="0"/>
        <w:jc w:val="left"/>
        <w:rPr>
          <w:rFonts w:ascii="Times New Roman" w:hAnsi="Times New Roman"/>
          <w:i/>
          <w:sz w:val="20"/>
        </w:rPr>
      </w:pPr>
      <w:r>
        <w:rPr>
          <w:rFonts w:ascii="Times New Roman" w:hAnsi="Times New Roman"/>
          <w:i/>
          <w:sz w:val="20"/>
        </w:rPr>
        <w:t xml:space="preserve">The unaudited Condensed Combined Statements of Operations and audited Combined Statements of Operations include all revenues and costs directly attributable to Sandisk, including costs for facilities, functions and services used by Sandisk. Sandisks business has historically functioned together with the other businesses controlled by WDC. Accordingly, Sandisk relied on WDCs corporate overhead and other support functions for its business. Therefore, certain corporate overhead and shared costs have been allocated to Sandisk including (i) certain general and administrative expenses related to WDC support functions that are provided on a centralized basis within WDC (e.g., expenses for corporate facilities, executive oversight, treasury, finance, legal, human resources, compliance, information technology, employee benefit plans, stock compensation plans and other corporate functions) and (ii) certain operations support costs incurred by WDC, including product sourcing, maintenance and support services and other supply chain functions. These expenses have been specifically identified, when possible, or allocated based on revenues, headcount, usage or other allocation methods that are considered to be a reasonable reflection of the utilization of services provided or benefit received. Management considers that such allocations have been made on a reasonable basis consistent with benefits received but may not necessarily be indicative of the costs that would have been incurred if Sandisk had been operated on a standalone basis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Our discussion within MD&amp;A is organized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Overview</w:t>
            </w:r>
            <w:r>
              <w:rPr>
                <w:rFonts w:ascii="Times New Roman" w:hAnsi="Times New Roman"/>
                <w:sz w:val="20"/>
              </w:rPr>
              <w:t xml:space="preserve">. This section contains background information on Sandisk, summary of significant themes and events during the year as well as strategic initiatives and trends in order to provide context for managements discussion and analysis of our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Results of operations</w:t>
            </w:r>
            <w:r>
              <w:rPr>
                <w:rFonts w:ascii="Times New Roman" w:hAnsi="Times New Roman"/>
                <w:sz w:val="20"/>
              </w:rPr>
              <w:t xml:space="preserve">. This section contains an analysis of our results of operations presented in the accompanying unaudited Condensed Combined Statements of Operations by comparing the results for the six months ended December 27, 2024 to the results for the six months ended December 29, 2023. Additionally, this section also contains an analysis of our results of operations presented in the accompanying audited Combined Statements of Operations by comparing the results for the fiscal year ended June 28, 2024 to the results for the fiscal year ended June 30, 2023, and the results for the fiscal year ended July 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Financial condition, liquidity and capital resources. </w:t>
            </w:r>
            <w:r>
              <w:rPr>
                <w:rFonts w:ascii="Times New Roman" w:hAnsi="Times New Roman"/>
                <w:sz w:val="20"/>
              </w:rPr>
              <w:t xml:space="preserve">This section provides an analysis of our cash flows and a discussion of our contractual obligations at December 27,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Critical accounting estimates. </w:t>
            </w:r>
            <w:r>
              <w:rPr>
                <w:rFonts w:ascii="Times New Roman" w:hAnsi="Times New Roman"/>
                <w:sz w:val="20"/>
              </w:rPr>
              <w:t xml:space="preserve">This section contains a discussion of the critical accounting estimates that we believe are important to our financial condition and results of operations and that require judgment and estimates on the part of management in their application. In addition, all of our significant accounting policies, including critical accounting policies, are summarized in Note 1, Organization and Basis of Presentation, in the Notes to Condensed Combined Financial Statements and Combined Financial Statements set forth in this prospectus.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Overview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Separation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30, 2023, WDC announced its intention to separate its Flash Business from its HDD Business. WDC determined to implement this separation through the spin-off of WDCs Flash Business to its stockholders. Sandisk was formed to hold WDCs Flash Business. Following the separation, we hold the assets and liabilities of WDC related to its Flash Business, subject to certain limited exceptions. After the separation, WDC continues to hold its HDD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25, 2025, the WDC Board of Directors approved the distribution of 80.1% of Sandisks issued and outstanding shares of common stock held by WDC to WDC stockholders on the basis of one share of our common stock for every three shares of WDC common stock held as of 1:00 p.m. Pacific time on February 12, 2025, the record date for the distribution,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the distribution was effected and the separation became effective as of 11:59 p.m. Pacific time. To effect the separation, WDC undertook a series of internal restructuring transactions to separate the assets, liabilities and certain legal entities of WDC associated with the Flash Business to us, in exchange for a cash payment of approximately $1.5 billion by us to WDC with a portion of the net proceeds of a term loan facility described below under Financing Activities. In conjunction with the separation, 116,035,464 shares of our common stock were distributed to WDC stockholders, as described below. Additionally, WDC retained 28,827,787 shares of our common stock representing its 19.9% retained interest. Regular-way trading of our common stock began with the opening of the Nasdaq on February 24, 2025, under the ticker symbol SNDK. Our common stock has a par value of $0.01 per share.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distribution, our stockholders (other than WDC) own directly 80.1% of the outstanding shares of our common stock and WDC retained 19.9% of the outstanding shares of our common stock. WDC (the selling stockholder named herein) intends to dispose of all of our common stock that it retains through one or more subsequent exchanges of our common stock for WDC debt held by WDC creditors and/or through distributions of our common stock to WDC stockholders as dividends or in exchange for outstanding shares of WDC common stock, in each case during the 12-month period following the distribution. We are registering on a registration statement on Form S-1, of which this prospectus forms a part, the shares retained by WDC under the terms of a stockholders and registration rights agreement between us and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following sections of the MD&amp;A, we use the terms Sandisk Corporation, we, us, and our, when referring to periods prior to the distribution, to refer to the Flash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w:t>
      </w:r>
    </w:p>
    <w:p>
      <w:pPr>
        <w:pStyle w:val="TextBody"/>
        <w:bidi w:val="0"/>
        <w:spacing w:before="120" w:after="0"/>
        <w:jc w:val="left"/>
        <w:rPr>
          <w:rFonts w:ascii="Times New Roman" w:hAnsi="Times New Roman"/>
          <w:sz w:val="20"/>
        </w:rPr>
      </w:pPr>
      <w:r>
        <w:rPr>
          <w:rFonts w:ascii="Times New Roman" w:hAnsi="Times New Roman"/>
          <w:sz w:val="20"/>
        </w:rPr>
        <w:t xml:space="preserve">Sandisk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Our solutions include a broad range of solid-state drives (SSD), embedded products, removable cards, universal serial bus drives and wafers and components. Our broad portfolio of technology and products addresses multiple end markets of Cloud, Client, and Consumer.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the Client end market, we provide our original equipment manufacturer (OEM)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capitalizes on the strength of our product brand recognition and vast points of presence around the world. Cloud is comprised primarily of products for public or private cloud environments and end customers. </w:t>
      </w:r>
    </w:p>
    <w:p>
      <w:pPr>
        <w:pStyle w:val="TextBody"/>
        <w:bidi w:val="0"/>
        <w:spacing w:before="240" w:after="0"/>
        <w:jc w:val="left"/>
        <w:rPr>
          <w:rFonts w:ascii="Times New Roman" w:hAnsi="Times New Roman"/>
          <w:sz w:val="20"/>
        </w:rPr>
      </w:pPr>
      <w:r>
        <w:rPr>
          <w:rFonts w:ascii="Times New Roman" w:hAnsi="Times New Roman"/>
          <w:sz w:val="20"/>
        </w:rPr>
        <w:t xml:space="preserve">Our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52 weeks, with all quarters presented consisting of 13 weeks.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Sale-Leaseback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WDC completed a sale and leaseback of its facility in Milpitas, California, and received net proceeds of $191 million in cash. A substantial majority of these assets are associated with Sandisk and included in our Combined Balance Sheet as of June 28, 2024. As a result, $134 million of the net proceeds from the sale-leaseback transaction has been allocated to us on a relative square footage basis. The property is being leased back at a total annual rate of $16 million for the first year, increasing by 3% per year thereafter through January 1, 2039. The lease includes three five-year renewal options and one four-year renewal option for the ability to extend through December 2057. This facility is utilized in Sandisks operations, and a portion of the total annual lease expense will be allocated to Sandisk in future periods based on the continued usage of the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SanDisk Semiconductor (Shanghai) Co. Ltd. (SDSS)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5, Supplemental Financial Statement Data, in the Notes to Condensed Combined Financial Statements, in March 2024, WDC entered into an agreement to sell 80% of the equity interest in SanDisk China Limited (SanDisk China) to JCET, a third-party contract manufacturing company. On September 28, 2024, the transaction closed. In connection with this transaction, WDC entered into a 5-year supply agreement with JCET to purchase wafers with a minimum annual commitment of $550 million.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this transaction, we expect to incur a modest reduction in annual operating expenses and a reduction in annual capital expenditures related to assembly testing of our products. We also expect that the transition to a contract manufacturing model through SDSS will result in a small increase in our annual cost of revenue for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We received financing from certain of WDCs subsidiaries in the form of borrowings under revolving credit agreements and promissory notes to fund activities primarily related to Flash Ventures. Additional information regarding our outstanding notes due to (from) Parent is included in Note 9, Related Parties and Related Commitments and Contingencies of the Notes to the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we entered into the Loan Agreement. The Loan Agreement comprises the Facilities. On February 21, 2025, we borrowed $2.0 billion under the Term Loan Facility. For a more detailed description of the Facilities, see the section of this prospectus entitled Description of Material Indebtedness on page 150.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Operational Update </w:t>
      </w:r>
    </w:p>
    <w:p>
      <w:pPr>
        <w:pStyle w:val="TextBody"/>
        <w:bidi w:val="0"/>
        <w:spacing w:before="120" w:after="0"/>
        <w:jc w:val="left"/>
        <w:rPr>
          <w:rFonts w:ascii="Times New Roman" w:hAnsi="Times New Roman"/>
          <w:sz w:val="20"/>
        </w:rPr>
      </w:pPr>
      <w:r>
        <w:rPr>
          <w:rFonts w:ascii="Times New Roman" w:hAnsi="Times New Roman"/>
          <w:sz w:val="20"/>
        </w:rPr>
        <w:t xml:space="preserve">Macroeconomic factors such as inflation, changes in interest rates and recession concerns softened demand for our products during 2023 and the first half of 2024. As a result, we and our industry experienced a supply-demand imbalance, which resulted in reduced shipments and negatively impacted pricing during those periods. To adapt to these conditions, since the beginning of 2023, we implemented measures to reduce operating expenses and proactively manage supply and inventory to align with demand and improve our capital efficiency while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deploy innovative products. These actions enabled us to scale back on capital expenditures, consolidate production lines and reduce production. During the first quarter of 2024, these actions resulted in incremental charges for employee termination, asset impairment and charges for unabsorbed manufacturing overhead costs due to the underutilization of facilities as we temporarily scaled back production. </w:t>
      </w:r>
    </w:p>
    <w:p>
      <w:pPr>
        <w:pStyle w:val="TextBody"/>
        <w:bidi w:val="0"/>
        <w:spacing w:before="240" w:after="0"/>
        <w:jc w:val="left"/>
        <w:rPr>
          <w:rFonts w:ascii="Times New Roman" w:hAnsi="Times New Roman"/>
          <w:sz w:val="20"/>
        </w:rPr>
      </w:pPr>
      <w:r>
        <w:rPr>
          <w:rFonts w:ascii="Times New Roman" w:hAnsi="Times New Roman"/>
          <w:sz w:val="20"/>
        </w:rPr>
        <w:t xml:space="preserve">We are now seeing an improvement in the supply and demand dynamic, leading to improved revenues. The increase in demand resulted in increased revenue and gross margin in the first six months of 2025 from the comparable period in the prior year. We anticipate that digital transformation, including the Artificial Intelligence (the AI) data-cycle, will continue to drive improved market conditions in the long-term for data storage. Leveraging our expertise and innovation in both areas, we believe we are well-positioned to capitalize on this improved market condition.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completion of the separation, the Company identified potential impairment indicators related to the trading price of the Companys common stock and a resulting market capitalization that was below its December 27, 2024 net book value. In accordance with Accounting Standards Codification No. 350, Intangibles - Goodwill and Other, the Company initiated a quantitative analysis of potential impairment of goodwill and long-lived assets. That analysis is ongoing, and the Company believes it is more likely than not that it will record an impairment charge in the three months ended March 28, 2025. See Note 5, Supplemental Financial Statement Data, for information about how goodwill is tested for impairment.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United States has recently announced changes to U.S. trade policy, including increasing tariffs on imports, in some cases significantly. These tariffs have the potential to raise the cost of our products sold in the U.S. and may adversely affect demand for our products in the U.S. We also cannot predict the potential responses to these actions or future trade policies and regulations in the U.S. and other countries, the terms of any trade arrangements that may be negotiated between the U.S. and other countries, the scope, amount, or duration of tariffs that may be imposed by any country, or the impact of these factors on our business, but each of these factors could increase the costs of our products and the materials and components used in our products, increase the prices of our products, and adversely affect demand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will continue to actively monitor developments impacting our business and may take additional responsive actions that we determine to be in the best interest of our business and stakeholders.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Summary Comparison of Six Months Ended December 27, 2024 and December 29,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the periods presented, selected summary information from our Condensed Combined Statements of Operations by dollars and percentage of net revenue(1):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02"/>
        <w:gridCol w:w="320"/>
        <w:gridCol w:w="140"/>
        <w:gridCol w:w="561"/>
        <w:gridCol w:w="155"/>
        <w:gridCol w:w="320"/>
        <w:gridCol w:w="60"/>
        <w:gridCol w:w="561"/>
        <w:gridCol w:w="276"/>
        <w:gridCol w:w="215"/>
        <w:gridCol w:w="140"/>
        <w:gridCol w:w="560"/>
        <w:gridCol w:w="155"/>
        <w:gridCol w:w="320"/>
        <w:gridCol w:w="60"/>
        <w:gridCol w:w="561"/>
        <w:gridCol w:w="282"/>
      </w:tblGrid>
      <w:tr>
        <w:trPr/>
        <w:tc>
          <w:tcPr>
            <w:tcW w:w="4702"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702"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08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82" w:type="dxa"/>
            <w:tcBorders/>
            <w:vAlign w:val="bottom"/>
          </w:tcPr>
          <w:p>
            <w:pPr>
              <w:pStyle w:val="TableContents"/>
              <w:bidi w:val="0"/>
              <w:spacing w:before="0" w:after="283"/>
              <w:jc w:val="left"/>
              <w:rPr/>
            </w:pPr>
            <w:r>
              <w:rPr/>
              <w:t> </w:t>
            </w:r>
          </w:p>
        </w:tc>
      </w:tr>
      <w:tr>
        <w:trPr/>
        <w:tc>
          <w:tcPr>
            <w:tcW w:w="4702"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27, 2024</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29, 2023</w:t>
            </w:r>
          </w:p>
        </w:tc>
        <w:tc>
          <w:tcPr>
            <w:tcW w:w="282" w:type="dxa"/>
            <w:tcBorders/>
            <w:vAlign w:val="bottom"/>
          </w:tcPr>
          <w:p>
            <w:pPr>
              <w:pStyle w:val="TableContents"/>
              <w:bidi w:val="0"/>
              <w:spacing w:before="0" w:after="283"/>
              <w:jc w:val="left"/>
              <w:rPr/>
            </w:pPr>
            <w:r>
              <w:rPr/>
              <w:t> </w:t>
            </w:r>
          </w:p>
        </w:tc>
      </w:tr>
      <w:tr>
        <w:trPr/>
        <w:tc>
          <w:tcPr>
            <w:tcW w:w="4702"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084" w:type="dxa"/>
            <w:gridSpan w:val="14"/>
            <w:tcBorders/>
            <w:vAlign w:val="bottom"/>
          </w:tcPr>
          <w:p>
            <w:pPr>
              <w:pStyle w:val="TableContents"/>
              <w:bidi w:val="0"/>
              <w:spacing w:before="0" w:after="283"/>
              <w:jc w:val="center"/>
              <w:rPr>
                <w:i/>
              </w:rPr>
            </w:pPr>
            <w:r>
              <w:rPr>
                <w:i/>
              </w:rPr>
              <w:t>(in millions, except percentages)</w:t>
            </w:r>
          </w:p>
        </w:tc>
        <w:tc>
          <w:tcPr>
            <w:tcW w:w="282" w:type="dxa"/>
            <w:tcBorders/>
            <w:vAlign w:val="bottom"/>
          </w:tcPr>
          <w:p>
            <w:pPr>
              <w:pStyle w:val="TableContents"/>
              <w:bidi w:val="0"/>
              <w:spacing w:before="0" w:after="283"/>
              <w:jc w:val="left"/>
              <w:rPr/>
            </w:pPr>
            <w:r>
              <w:rPr/>
              <w:t> </w:t>
            </w:r>
          </w:p>
        </w:tc>
      </w:tr>
      <w:tr>
        <w:trPr/>
        <w:tc>
          <w:tcPr>
            <w:tcW w:w="4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3,759</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3,198</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100.0</w:t>
            </w:r>
          </w:p>
        </w:tc>
        <w:tc>
          <w:tcPr>
            <w:tcW w:w="282" w:type="dxa"/>
            <w:tcBorders/>
            <w:shd w:fill="CCEEFF" w:val="clear"/>
            <w:vAlign w:val="bottom"/>
          </w:tcPr>
          <w:p>
            <w:pPr>
              <w:pStyle w:val="TableContents"/>
              <w:bidi w:val="0"/>
              <w:spacing w:before="0" w:after="283"/>
              <w:jc w:val="left"/>
              <w:rPr/>
            </w:pPr>
            <w:r>
              <w:rPr/>
              <w:t>% </w:t>
            </w:r>
          </w:p>
        </w:tc>
      </w:tr>
      <w:tr>
        <w:trPr/>
        <w:tc>
          <w:tcPr>
            <w:tcW w:w="470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2,427</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64.6</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3,225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100.8</w:t>
            </w:r>
          </w:p>
        </w:tc>
        <w:tc>
          <w:tcPr>
            <w:tcW w:w="282" w:type="dxa"/>
            <w:tcBorders/>
            <w:vAlign w:val="bottom"/>
          </w:tcPr>
          <w:p>
            <w:pPr>
              <w:pStyle w:val="TableContents"/>
              <w:bidi w:val="0"/>
              <w:spacing w:before="0" w:after="283"/>
              <w:jc w:val="left"/>
              <w:rPr/>
            </w:pPr>
            <w:r>
              <w:rPr/>
              <w:t> </w:t>
            </w:r>
          </w:p>
        </w:tc>
      </w:tr>
      <w:tr>
        <w:trPr/>
        <w:tc>
          <w:tcPr>
            <w:tcW w:w="4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(loss)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1,332</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35.4</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(0.8</w:t>
            </w:r>
          </w:p>
        </w:tc>
        <w:tc>
          <w:tcPr>
            <w:tcW w:w="282" w:type="dxa"/>
            <w:tcBorders/>
            <w:shd w:fill="CCEEFF" w:val="clear"/>
            <w:vAlign w:val="bottom"/>
          </w:tcPr>
          <w:p>
            <w:pPr>
              <w:pStyle w:val="TableContents"/>
              <w:bidi w:val="0"/>
              <w:spacing w:before="0" w:after="283"/>
              <w:jc w:val="left"/>
              <w:rPr/>
            </w:pPr>
            <w:r>
              <w:rPr/>
              <w:t>) </w:t>
            </w:r>
          </w:p>
        </w:tc>
      </w:tr>
      <w:tr>
        <w:trPr/>
        <w:tc>
          <w:tcPr>
            <w:tcW w:w="470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15.0</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486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15.2</w:t>
            </w:r>
          </w:p>
        </w:tc>
        <w:tc>
          <w:tcPr>
            <w:tcW w:w="282" w:type="dxa"/>
            <w:tcBorders/>
            <w:shd w:fill="CCEEFF" w:val="clear"/>
            <w:vAlign w:val="bottom"/>
          </w:tcPr>
          <w:p>
            <w:pPr>
              <w:pStyle w:val="TableContents"/>
              <w:bidi w:val="0"/>
              <w:spacing w:before="0" w:after="283"/>
              <w:jc w:val="left"/>
              <w:rPr/>
            </w:pPr>
            <w:r>
              <w:rPr/>
              <w:t> </w:t>
            </w:r>
          </w:p>
        </w:tc>
      </w:tr>
      <w:tr>
        <w:trPr/>
        <w:tc>
          <w:tcPr>
            <w:tcW w:w="470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272</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7.2</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231</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7.2</w:t>
            </w:r>
          </w:p>
        </w:tc>
        <w:tc>
          <w:tcPr>
            <w:tcW w:w="282" w:type="dxa"/>
            <w:tcBorders/>
            <w:vAlign w:val="bottom"/>
          </w:tcPr>
          <w:p>
            <w:pPr>
              <w:pStyle w:val="TableContents"/>
              <w:bidi w:val="0"/>
              <w:spacing w:before="0" w:after="283"/>
              <w:jc w:val="left"/>
              <w:rPr/>
            </w:pPr>
            <w:r>
              <w:rPr/>
              <w:t> </w:t>
            </w:r>
          </w:p>
        </w:tc>
      </w:tr>
      <w:tr>
        <w:trPr/>
        <w:tc>
          <w:tcPr>
            <w:tcW w:w="4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282" w:type="dxa"/>
            <w:tcBorders/>
            <w:shd w:fill="CCEEFF" w:val="clear"/>
            <w:vAlign w:val="bottom"/>
          </w:tcPr>
          <w:p>
            <w:pPr>
              <w:pStyle w:val="TableContents"/>
              <w:bidi w:val="0"/>
              <w:spacing w:before="0" w:after="283"/>
              <w:jc w:val="left"/>
              <w:rPr/>
            </w:pPr>
            <w:r>
              <w:rPr/>
              <w:t> </w:t>
            </w:r>
          </w:p>
        </w:tc>
      </w:tr>
      <w:tr>
        <w:trPr/>
        <w:tc>
          <w:tcPr>
            <w:tcW w:w="4702" w:type="dxa"/>
            <w:tcBorders/>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0.1</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(1.4</w:t>
            </w:r>
          </w:p>
        </w:tc>
        <w:tc>
          <w:tcPr>
            <w:tcW w:w="282" w:type="dxa"/>
            <w:tcBorders/>
            <w:vAlign w:val="bottom"/>
          </w:tcPr>
          <w:p>
            <w:pPr>
              <w:pStyle w:val="TableContents"/>
              <w:bidi w:val="0"/>
              <w:spacing w:before="0" w:after="283"/>
              <w:jc w:val="left"/>
              <w:rPr/>
            </w:pPr>
            <w:r>
              <w:rPr/>
              <w:t>) </w:t>
            </w:r>
          </w:p>
        </w:tc>
      </w:tr>
      <w:tr>
        <w:trPr/>
        <w:tc>
          <w:tcPr>
            <w:tcW w:w="4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business divestiture</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(0.9</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47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846</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22.5</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705</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22.1</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4752"/>
        <w:gridCol w:w="332"/>
        <w:gridCol w:w="152"/>
        <w:gridCol w:w="424"/>
        <w:gridCol w:w="169"/>
        <w:gridCol w:w="342"/>
        <w:gridCol w:w="65"/>
        <w:gridCol w:w="541"/>
        <w:gridCol w:w="300"/>
        <w:gridCol w:w="222"/>
        <w:gridCol w:w="140"/>
        <w:gridCol w:w="459"/>
        <w:gridCol w:w="155"/>
        <w:gridCol w:w="332"/>
        <w:gridCol w:w="60"/>
        <w:gridCol w:w="569"/>
        <w:gridCol w:w="374"/>
      </w:tblGrid>
      <w:tr>
        <w:trPr/>
        <w:tc>
          <w:tcPr>
            <w:tcW w:w="4752"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93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74"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30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374"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930" w:type="dxa"/>
            <w:gridSpan w:val="14"/>
            <w:tcBorders/>
            <w:vAlign w:val="bottom"/>
          </w:tcPr>
          <w:p>
            <w:pPr>
              <w:pStyle w:val="TableContents"/>
              <w:bidi w:val="0"/>
              <w:spacing w:before="0" w:after="283"/>
              <w:jc w:val="center"/>
              <w:rPr>
                <w:i/>
              </w:rPr>
            </w:pPr>
            <w:r>
              <w:rPr>
                <w:i/>
              </w:rPr>
              <w:t>(in millions, except percentages)</w:t>
            </w:r>
          </w:p>
        </w:tc>
        <w:tc>
          <w:tcPr>
            <w:tcW w:w="374"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3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486</w:t>
            </w:r>
          </w:p>
        </w:tc>
        <w:tc>
          <w:tcPr>
            <w:tcW w:w="169"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12.9</w:t>
            </w:r>
          </w:p>
        </w:tc>
        <w:tc>
          <w:tcPr>
            <w:tcW w:w="30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(732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(22.9</w:t>
            </w:r>
          </w:p>
        </w:tc>
        <w:tc>
          <w:tcPr>
            <w:tcW w:w="374"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(expense):</w:t>
            </w:r>
          </w:p>
        </w:tc>
        <w:tc>
          <w:tcPr>
            <w:tcW w:w="3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5</w:t>
            </w:r>
          </w:p>
        </w:tc>
        <w:tc>
          <w:tcPr>
            <w:tcW w:w="169"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0.1</w:t>
            </w:r>
          </w:p>
        </w:tc>
        <w:tc>
          <w:tcPr>
            <w:tcW w:w="30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0.2</w:t>
            </w:r>
          </w:p>
        </w:tc>
        <w:tc>
          <w:tcPr>
            <w:tcW w:w="374"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(6</w:t>
            </w:r>
          </w:p>
        </w:tc>
        <w:tc>
          <w:tcPr>
            <w:tcW w:w="169"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(0.2</w:t>
            </w:r>
          </w:p>
        </w:tc>
        <w:tc>
          <w:tcPr>
            <w:tcW w:w="30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(0.7</w:t>
            </w:r>
          </w:p>
        </w:tc>
        <w:tc>
          <w:tcPr>
            <w:tcW w:w="374"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(45</w:t>
            </w:r>
          </w:p>
        </w:tc>
        <w:tc>
          <w:tcPr>
            <w:tcW w:w="169"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(1.2</w:t>
            </w:r>
          </w:p>
        </w:tc>
        <w:tc>
          <w:tcPr>
            <w:tcW w:w="30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(0.2</w:t>
            </w:r>
          </w:p>
        </w:tc>
        <w:tc>
          <w:tcPr>
            <w:tcW w:w="374"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(expense), net</w:t>
            </w:r>
          </w:p>
        </w:tc>
        <w:tc>
          <w:tcPr>
            <w:tcW w:w="3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(46</w:t>
            </w:r>
          </w:p>
        </w:tc>
        <w:tc>
          <w:tcPr>
            <w:tcW w:w="169"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(1.3</w:t>
            </w:r>
          </w:p>
        </w:tc>
        <w:tc>
          <w:tcPr>
            <w:tcW w:w="30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(0.7</w:t>
            </w:r>
          </w:p>
        </w:tc>
        <w:tc>
          <w:tcPr>
            <w:tcW w:w="374"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3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440</w:t>
            </w:r>
          </w:p>
        </w:tc>
        <w:tc>
          <w:tcPr>
            <w:tcW w:w="169"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11.6</w:t>
            </w:r>
          </w:p>
        </w:tc>
        <w:tc>
          <w:tcPr>
            <w:tcW w:w="30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(23.6</w:t>
            </w:r>
          </w:p>
        </w:tc>
        <w:tc>
          <w:tcPr>
            <w:tcW w:w="374"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125</w:t>
            </w:r>
          </w:p>
        </w:tc>
        <w:tc>
          <w:tcPr>
            <w:tcW w:w="169"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3.3</w:t>
            </w:r>
          </w:p>
        </w:tc>
        <w:tc>
          <w:tcPr>
            <w:tcW w:w="30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2.0</w:t>
            </w:r>
          </w:p>
        </w:tc>
        <w:tc>
          <w:tcPr>
            <w:tcW w:w="374"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br/>
              <w:t> </w:t>
            </w:r>
          </w:p>
        </w:tc>
        <w:tc>
          <w:tcPr>
            <w:tcW w:w="424" w:type="dxa"/>
            <w:tcBorders/>
            <w:shd w:fill="CCEEFF" w:val="clear"/>
            <w:vAlign w:val="bottom"/>
          </w:tcPr>
          <w:p>
            <w:pPr>
              <w:pStyle w:val="TableContents"/>
              <w:bidi w:val="0"/>
              <w:spacing w:before="0" w:after="283"/>
              <w:jc w:val="right"/>
              <w:rPr/>
            </w:pPr>
            <w:r>
              <w:rPr/>
              <w:t> </w:t>
            </w:r>
            <w:r>
              <w:rPr/>
              <w:br/>
              <w:t>315</w:t>
            </w:r>
          </w:p>
        </w:tc>
        <w:tc>
          <w:tcPr>
            <w:tcW w:w="169" w:type="dxa"/>
            <w:tcBorders/>
            <w:shd w:fill="CCEEFF" w:val="clear"/>
            <w:vAlign w:val="bottom"/>
          </w:tcPr>
          <w:p>
            <w:pPr>
              <w:pStyle w:val="TableContents"/>
              <w:bidi w:val="0"/>
              <w:spacing w:before="0" w:after="283"/>
              <w:jc w:val="left"/>
              <w:rPr/>
            </w:pPr>
            <w:r>
              <w:rPr/>
              <w:t> </w:t>
            </w:r>
            <w:r>
              <w:rPr/>
              <w:br/>
              <w:t> </w:t>
            </w:r>
          </w:p>
        </w:tc>
        <w:tc>
          <w:tcPr>
            <w:tcW w:w="34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8.3</w:t>
            </w:r>
          </w:p>
        </w:tc>
        <w:tc>
          <w:tcPr>
            <w:tcW w:w="30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9" w:type="dxa"/>
            <w:tcBorders/>
            <w:shd w:fill="CCEEFF" w:val="clear"/>
            <w:vAlign w:val="bottom"/>
          </w:tcPr>
          <w:p>
            <w:pPr>
              <w:pStyle w:val="TableContents"/>
              <w:bidi w:val="0"/>
              <w:spacing w:before="0" w:after="283"/>
              <w:jc w:val="right"/>
              <w:rPr/>
            </w:pPr>
            <w:r>
              <w:rPr/>
              <w:t>(819</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(25.6</w:t>
            </w:r>
          </w:p>
        </w:tc>
        <w:tc>
          <w:tcPr>
            <w:tcW w:w="37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may not total due to rounding.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the periods presented, summary information regarding our disaggregated revenue: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3"/>
        <w:gridCol w:w="586"/>
        <w:gridCol w:w="283"/>
        <w:gridCol w:w="1135"/>
        <w:gridCol w:w="60"/>
        <w:gridCol w:w="586"/>
        <w:gridCol w:w="283"/>
        <w:gridCol w:w="1135"/>
        <w:gridCol w:w="64"/>
      </w:tblGrid>
      <w:tr>
        <w:trPr/>
        <w:tc>
          <w:tcPr>
            <w:tcW w:w="3623" w:type="dxa"/>
            <w:tcBorders/>
            <w:vAlign w:val="center"/>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34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64" w:type="dxa"/>
            <w:tcBorders/>
            <w:vAlign w:val="bottom"/>
          </w:tcPr>
          <w:p>
            <w:pPr>
              <w:pStyle w:val="TableContents"/>
              <w:bidi w:val="0"/>
              <w:spacing w:before="0" w:after="283"/>
              <w:jc w:val="left"/>
              <w:rPr/>
            </w:pPr>
            <w:r>
              <w:rPr/>
              <w:t> </w:t>
            </w:r>
          </w:p>
        </w:tc>
      </w:tr>
      <w:tr>
        <w:trPr/>
        <w:tc>
          <w:tcPr>
            <w:tcW w:w="362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64" w:type="dxa"/>
            <w:tcBorders/>
            <w:vAlign w:val="bottom"/>
          </w:tcPr>
          <w:p>
            <w:pPr>
              <w:pStyle w:val="TableContents"/>
              <w:bidi w:val="0"/>
              <w:spacing w:before="0" w:after="283"/>
              <w:jc w:val="left"/>
              <w:rPr/>
            </w:pPr>
            <w:r>
              <w:rPr/>
              <w:t> </w:t>
            </w:r>
          </w:p>
        </w:tc>
      </w:tr>
      <w:tr>
        <w:trPr/>
        <w:tc>
          <w:tcPr>
            <w:tcW w:w="3623"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3482" w:type="dxa"/>
            <w:gridSpan w:val="6"/>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by end market</w:t>
            </w:r>
          </w:p>
        </w:tc>
        <w:tc>
          <w:tcPr>
            <w:tcW w:w="58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Cloud</w:t>
            </w:r>
          </w:p>
        </w:tc>
        <w:tc>
          <w:tcPr>
            <w:tcW w:w="58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550</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Client</w:t>
            </w:r>
          </w:p>
        </w:tc>
        <w:tc>
          <w:tcPr>
            <w:tcW w:w="58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2,097</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1,967</w:t>
            </w:r>
          </w:p>
        </w:tc>
        <w:tc>
          <w:tcPr>
            <w:tcW w:w="64"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Consumer</w:t>
            </w:r>
          </w:p>
        </w:tc>
        <w:tc>
          <w:tcPr>
            <w:tcW w:w="58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1,173</w:t>
            </w:r>
          </w:p>
        </w:tc>
        <w:tc>
          <w:tcPr>
            <w:tcW w:w="64"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58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5" w:type="dxa"/>
            <w:tcBorders/>
            <w:shd w:fill="CCEEFF" w:val="clear"/>
            <w:vAlign w:val="bottom"/>
          </w:tcPr>
          <w:p>
            <w:pPr>
              <w:pStyle w:val="TableContents"/>
              <w:bidi w:val="0"/>
              <w:spacing w:before="0" w:after="283"/>
              <w:jc w:val="right"/>
              <w:rPr/>
            </w:pPr>
            <w:r>
              <w:rPr/>
              <w:t>3,759</w:t>
            </w:r>
          </w:p>
        </w:tc>
        <w:tc>
          <w:tcPr>
            <w:tcW w:w="6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5" w:type="dxa"/>
            <w:tcBorders/>
            <w:shd w:fill="CCEEFF" w:val="clear"/>
            <w:vAlign w:val="bottom"/>
          </w:tcPr>
          <w:p>
            <w:pPr>
              <w:pStyle w:val="TableContents"/>
              <w:bidi w:val="0"/>
              <w:spacing w:before="0" w:after="283"/>
              <w:jc w:val="right"/>
              <w:rPr/>
            </w:pPr>
            <w:r>
              <w:rPr/>
              <w:t>3,198</w:t>
            </w:r>
          </w:p>
        </w:tc>
        <w:tc>
          <w:tcPr>
            <w:tcW w:w="64" w:type="dxa"/>
            <w:tcBorders/>
            <w:shd w:fill="CCEEFF" w:val="clear"/>
            <w:vAlign w:val="bottom"/>
          </w:tcPr>
          <w:p>
            <w:pPr>
              <w:pStyle w:val="TableContents"/>
              <w:bidi w:val="0"/>
              <w:spacing w:before="0" w:after="283"/>
              <w:jc w:val="left"/>
              <w:rPr/>
            </w:pPr>
            <w:r>
              <w:rPr/>
              <w:t> </w:t>
            </w:r>
          </w:p>
        </w:tc>
      </w:tr>
      <w:tr>
        <w:trPr/>
        <w:tc>
          <w:tcPr>
            <w:tcW w:w="3623"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33"/>
        <w:gridCol w:w="577"/>
        <w:gridCol w:w="284"/>
        <w:gridCol w:w="1138"/>
        <w:gridCol w:w="60"/>
        <w:gridCol w:w="577"/>
        <w:gridCol w:w="284"/>
        <w:gridCol w:w="1138"/>
        <w:gridCol w:w="64"/>
      </w:tblGrid>
      <w:tr>
        <w:trPr/>
        <w:tc>
          <w:tcPr>
            <w:tcW w:w="3633"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34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64"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64"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3481" w:type="dxa"/>
            <w:gridSpan w:val="6"/>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by Geography</w:t>
            </w:r>
          </w:p>
        </w:tc>
        <w:tc>
          <w:tcPr>
            <w:tcW w:w="57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57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2,236</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2,173</w:t>
            </w:r>
          </w:p>
        </w:tc>
        <w:tc>
          <w:tcPr>
            <w:tcW w:w="64"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57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832</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487</w:t>
            </w:r>
          </w:p>
        </w:tc>
        <w:tc>
          <w:tcPr>
            <w:tcW w:w="64"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57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691</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538</w:t>
            </w:r>
          </w:p>
        </w:tc>
        <w:tc>
          <w:tcPr>
            <w:tcW w:w="64"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57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3,759</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3,198</w:t>
            </w:r>
          </w:p>
        </w:tc>
        <w:tc>
          <w:tcPr>
            <w:tcW w:w="64" w:type="dxa"/>
            <w:tcBorders/>
            <w:shd w:fill="CCEEFF" w:val="clear"/>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Revenue </w:t>
      </w:r>
    </w:p>
    <w:p>
      <w:pPr>
        <w:pStyle w:val="TextBody"/>
        <w:bidi w:val="0"/>
        <w:spacing w:before="120" w:after="0"/>
        <w:jc w:val="left"/>
        <w:rPr>
          <w:rFonts w:ascii="Times New Roman" w:hAnsi="Times New Roman"/>
          <w:i/>
          <w:sz w:val="20"/>
        </w:rPr>
      </w:pPr>
      <w:r>
        <w:rPr>
          <w:rFonts w:ascii="Times New Roman" w:hAnsi="Times New Roman"/>
          <w:i/>
          <w:sz w:val="20"/>
        </w:rPr>
        <w:t xml:space="preserve">Six months ended December 27, 2024 compared with six months ended December 29, 2023 </w:t>
      </w:r>
    </w:p>
    <w:p>
      <w:pPr>
        <w:pStyle w:val="TextBody"/>
        <w:bidi w:val="0"/>
        <w:spacing w:before="120" w:after="0"/>
        <w:jc w:val="left"/>
        <w:rPr>
          <w:rFonts w:ascii="Times New Roman" w:hAnsi="Times New Roman"/>
          <w:sz w:val="20"/>
        </w:rPr>
      </w:pPr>
      <w:r>
        <w:rPr>
          <w:rFonts w:ascii="Times New Roman" w:hAnsi="Times New Roman"/>
          <w:sz w:val="20"/>
        </w:rPr>
        <w:t xml:space="preserve">Net revenue increased 18% in the six months ended December 27, 2024 from the comparable period in the prior year, primarily due to a 26% increase in average selling price (ASP) per gigabyte attributed to improved pricing as the supply-demand balance improved, partially offset by a 7% decrease in exabytes sold driven by softer demand in the Client and Consumer end markets. </w:t>
      </w:r>
    </w:p>
    <w:p>
      <w:pPr>
        <w:pStyle w:val="TextBody"/>
        <w:bidi w:val="0"/>
        <w:spacing w:before="240" w:after="0"/>
        <w:jc w:val="left"/>
        <w:rPr>
          <w:rFonts w:ascii="Times New Roman" w:hAnsi="Times New Roman"/>
          <w:sz w:val="20"/>
        </w:rPr>
      </w:pPr>
      <w:r>
        <w:rPr>
          <w:rFonts w:ascii="Times New Roman" w:hAnsi="Times New Roman"/>
          <w:sz w:val="20"/>
        </w:rPr>
        <w:t xml:space="preserve">Cloud revenue increased 848% in the six months ended December 27, 2024 from the comparable period in the prior year, primarily due to a 571% increase in exabytes sold and a 31% increase in ASP per gigabyte due to the supply-demand balance recovery and improved pricing. </w:t>
      </w:r>
    </w:p>
    <w:p>
      <w:pPr>
        <w:pStyle w:val="TextBody"/>
        <w:bidi w:val="0"/>
        <w:spacing w:before="240" w:after="0"/>
        <w:jc w:val="left"/>
        <w:rPr>
          <w:rFonts w:ascii="Times New Roman" w:hAnsi="Times New Roman"/>
          <w:sz w:val="20"/>
        </w:rPr>
      </w:pPr>
      <w:r>
        <w:rPr>
          <w:rFonts w:ascii="Times New Roman" w:hAnsi="Times New Roman"/>
          <w:sz w:val="20"/>
        </w:rPr>
        <w:t xml:space="preserve">Client revenue increased 7% in the six months ended December 27, 2024 from the comparable period in the prior year, primarily due to a 37% increase in ASP per gigabyte due to improved pricing as the supply-demand balance improved, partially offset by a 22% decrease in exabytes sold primarily due to a drop in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Consumer revenue decreased 5% in the six months ended December 27, 2024 from the comparable period in the prior year, primarily due to an 8% decrease in exabytes sold due to softer demand, partially offset by a 2% increase in ASP per gigabyte.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net revenue by geography in the six months ended December 27, 2024 from the comparable period in the prior year primarily reflected higher revenue in the Americas region from Cloud customers.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standard industry practice, we offer sales incentive and marketing programs that provide customers with price protection and other incentives or reimbursements that are recorded as a reduction to gross revenue. For the six months ended December 27, 2024 and December 29, 2023, these programs represented 19% and 23%,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and Gross Margin </w:t>
      </w:r>
    </w:p>
    <w:p>
      <w:pPr>
        <w:pStyle w:val="TextBody"/>
        <w:bidi w:val="0"/>
        <w:spacing w:before="120" w:after="0"/>
        <w:jc w:val="left"/>
        <w:rPr>
          <w:rFonts w:ascii="Times New Roman" w:hAnsi="Times New Roman"/>
          <w:i/>
          <w:sz w:val="20"/>
        </w:rPr>
      </w:pPr>
      <w:r>
        <w:rPr>
          <w:rFonts w:ascii="Times New Roman" w:hAnsi="Times New Roman"/>
          <w:i/>
          <w:sz w:val="20"/>
        </w:rPr>
        <w:t xml:space="preserve">Six months ended December 27, 2024 compared with six months ended December 29, 2023 </w:t>
      </w:r>
    </w:p>
    <w:p>
      <w:pPr>
        <w:pStyle w:val="TextBody"/>
        <w:bidi w:val="0"/>
        <w:spacing w:before="120" w:after="0"/>
        <w:jc w:val="left"/>
        <w:rPr>
          <w:rFonts w:ascii="Times New Roman" w:hAnsi="Times New Roman"/>
          <w:sz w:val="20"/>
        </w:rPr>
      </w:pPr>
      <w:r>
        <w:rPr>
          <w:rFonts w:ascii="Times New Roman" w:hAnsi="Times New Roman"/>
          <w:sz w:val="20"/>
        </w:rPr>
        <w:t xml:space="preserve">Gross profit increased $1,359 million for the six months ended December 27, 2024 from the comparable period in the prior year, primarily due to improved pricing, favorable product mix, and prior year charges for unabsorbed manufacturing overhead costs as a result of the reduced utilization of our manufacturing capacity of $249 million, which were not incurred in the current period. </w:t>
      </w:r>
    </w:p>
    <w:p>
      <w:pPr>
        <w:pStyle w:val="TextBody"/>
        <w:bidi w:val="0"/>
        <w:spacing w:before="120" w:after="0"/>
        <w:jc w:val="left"/>
        <w:rPr>
          <w:rFonts w:ascii="Times New Roman" w:hAnsi="Times New Roman"/>
          <w:sz w:val="20"/>
        </w:rPr>
      </w:pPr>
      <w:r>
        <w:rPr>
          <w:rFonts w:ascii="Times New Roman" w:hAnsi="Times New Roman"/>
          <w:sz w:val="20"/>
        </w:rPr>
        <w:t xml:space="preserve">Gross profit margin increased by 36% for the six months ended December 27, 2024 from the comparable period in the prior year, primarily due to improved pricing, favorable product mix, and a prior year charge for unabsorbed manufacturing overhead costs as a result of the reduced utilization of our manufacturing capacity representing 8% which were not incurred in the current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Six months ended December 27, 2024 compared with six months ended December 29, 2023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(R&amp;D) expense increased by $76 million in the six months ended December 27, 2024 from the comparable period in the prior year, primarily due to a $42 million increase in compensation and benefits due to higher variable compensation and increased headcount, a $16 million increase in material purchases, and increases in spending for R&amp;D projects as we continue to invest in innovation.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 increased by $41 million in the six months ended December 27, 2024 from the comparable period in the prior year, primarily due to a $27 million increase in compensation and benefits due to higher variable compensation and increased headcount and a $13 million increase in materials purchases. </w:t>
      </w:r>
    </w:p>
    <w:p>
      <w:pPr>
        <w:pStyle w:val="TextBody"/>
        <w:bidi w:val="0"/>
        <w:spacing w:before="240" w:after="0"/>
        <w:jc w:val="left"/>
        <w:rPr>
          <w:rFonts w:ascii="Times New Roman" w:hAnsi="Times New Roman"/>
          <w:sz w:val="20"/>
        </w:rPr>
      </w:pPr>
      <w:r>
        <w:rPr>
          <w:rFonts w:ascii="Times New Roman" w:hAnsi="Times New Roman"/>
          <w:sz w:val="20"/>
        </w:rPr>
        <w:t xml:space="preserve">Business separation costs were $41 million for the six months ended December 27, 2024, primarily reflecting outside service fees to support the separation of Sandisk from WDC. </w:t>
      </w:r>
    </w:p>
    <w:p>
      <w:pPr>
        <w:pStyle w:val="TextBody"/>
        <w:bidi w:val="0"/>
        <w:spacing w:before="240" w:after="0"/>
        <w:jc w:val="left"/>
        <w:rPr>
          <w:rFonts w:ascii="Times New Roman" w:hAnsi="Times New Roman"/>
          <w:sz w:val="20"/>
        </w:rPr>
      </w:pPr>
      <w:r>
        <w:rPr>
          <w:rFonts w:ascii="Times New Roman" w:hAnsi="Times New Roman"/>
          <w:sz w:val="20"/>
        </w:rPr>
        <w:t xml:space="preserve">Employee termination and other charges increased $51 million in the six months ended December 27, 2024 from the comparable period in the prior year, primarily due to a $60 million gain on the sale-leaseback of a facility in the prior period. For additional information regarding employee termination and other charges, see Note 13, Employee Termination and Other Charges of the Notes to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Gain on business divestiture was $34 million for the six months ended December 27, 2024, primarily reflecting the gain resulting from the sale of 80.1% interest in SanDisk China to JCET on September 28, 2024. For additional information regarding the sale, see Note 5, Supplemental Financial Statement Data, in the Notes to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and 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Six months ended December 27, 2024 compared with six months ended December 29, 2023 </w:t>
      </w:r>
    </w:p>
    <w:p>
      <w:pPr>
        <w:pStyle w:val="TextBody"/>
        <w:bidi w:val="0"/>
        <w:spacing w:before="120" w:after="0"/>
        <w:jc w:val="left"/>
        <w:rPr>
          <w:rFonts w:ascii="Times New Roman" w:hAnsi="Times New Roman"/>
          <w:sz w:val="20"/>
        </w:rPr>
      </w:pPr>
      <w:r>
        <w:rPr>
          <w:rFonts w:ascii="Times New Roman" w:hAnsi="Times New Roman"/>
          <w:sz w:val="20"/>
        </w:rPr>
        <w:t xml:space="preserve">Interest and other expense, net increased $24 million in the six months ended December 27, 2024 from the comparable period in the prior year, primarily due to a $25 million increase in foreign exchange losses and a $20 million increase in losses on our equity investments, partially offset by a $16 million decrease in interest expense on borrowings due to WDC and $4 million in interest income arising from the accretion of the present value discount on the outstanding SDSS consideration receivable.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Tax Cuts and Jobs Act (the 2017 Act) requires the Company to capitalize and amortize R&amp;D expenses rather than expensing them in the year incurred. The tax effects related to the capitalization of R&amp;D expenses are included in our effective tax rate for the three and six months ended December 27, 2024 and December 29, 2023. The tax effects related to the capitalization of R&amp;D expenses had a material impact on our effective tax rate for the three and six months ended December 27, 2024 but did not have a material impact on the effective tax rate for the three and six months ended December 29, 2023.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corporate alternative minimum tax was effective for us beginning with fiscal year 2024. We do not expect to be subject to the CAMT of 15% for fiscal year 2025 as our average annual AFSI did not exceed $1.0 billion for the preceding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2021, the Organization for Economic Co-operation and Development 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the Pillar Two, some of which are effective for the Company in fiscal year 2025. For fiscal year 2025, we currently expect to be able to meet certain transitional safe harbors and do not expect any material Pillar Two taxes. As more jurisdictions adopt this legislation in fiscal year 2026, there may be material increases in our future tax obligations in certain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Income tax expense and effective tax rate: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26"/>
        <w:gridCol w:w="681"/>
        <w:gridCol w:w="380"/>
        <w:gridCol w:w="1036"/>
        <w:gridCol w:w="275"/>
        <w:gridCol w:w="588"/>
        <w:gridCol w:w="332"/>
        <w:gridCol w:w="1083"/>
        <w:gridCol w:w="354"/>
      </w:tblGrid>
      <w:tr>
        <w:trPr/>
        <w:tc>
          <w:tcPr>
            <w:tcW w:w="3026" w:type="dxa"/>
            <w:tcBorders/>
            <w:vAlign w:val="center"/>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026"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275"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354" w:type="dxa"/>
            <w:tcBorders/>
            <w:vAlign w:val="bottom"/>
          </w:tcPr>
          <w:p>
            <w:pPr>
              <w:pStyle w:val="TableContents"/>
              <w:bidi w:val="0"/>
              <w:spacing w:before="0" w:after="283"/>
              <w:jc w:val="left"/>
              <w:rPr/>
            </w:pPr>
            <w:r>
              <w:rPr/>
              <w:t> </w:t>
            </w:r>
          </w:p>
        </w:tc>
      </w:tr>
      <w:tr>
        <w:trPr/>
        <w:tc>
          <w:tcPr>
            <w:tcW w:w="3026"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  </w:t>
            </w:r>
          </w:p>
        </w:tc>
        <w:tc>
          <w:tcPr>
            <w:tcW w:w="3694" w:type="dxa"/>
            <w:gridSpan w:val="6"/>
            <w:tcBorders/>
            <w:vAlign w:val="bottom"/>
          </w:tcPr>
          <w:p>
            <w:pPr>
              <w:pStyle w:val="TableContents"/>
              <w:bidi w:val="0"/>
              <w:spacing w:before="0" w:after="283"/>
              <w:jc w:val="center"/>
              <w:rPr>
                <w:i/>
              </w:rPr>
            </w:pPr>
            <w:r>
              <w:rPr>
                <w:i/>
              </w:rPr>
              <w:t>(in millions)</w:t>
            </w:r>
          </w:p>
        </w:tc>
        <w:tc>
          <w:tcPr>
            <w:tcW w:w="354" w:type="dxa"/>
            <w:tcBorders/>
            <w:vAlign w:val="bottom"/>
          </w:tcPr>
          <w:p>
            <w:pPr>
              <w:pStyle w:val="TableContents"/>
              <w:bidi w:val="0"/>
              <w:spacing w:before="0" w:after="283"/>
              <w:jc w:val="left"/>
              <w:rPr/>
            </w:pPr>
            <w:r>
              <w:rPr/>
              <w:t> </w:t>
            </w:r>
          </w:p>
        </w:tc>
      </w:tr>
      <w:tr>
        <w:trPr/>
        <w:tc>
          <w:tcPr>
            <w:tcW w:w="3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taxes</w:t>
            </w:r>
          </w:p>
        </w:tc>
        <w:tc>
          <w:tcPr>
            <w:tcW w:w="68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440</w:t>
            </w:r>
          </w:p>
        </w:tc>
        <w:tc>
          <w:tcPr>
            <w:tcW w:w="275"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(754</w:t>
            </w:r>
          </w:p>
        </w:tc>
        <w:tc>
          <w:tcPr>
            <w:tcW w:w="354" w:type="dxa"/>
            <w:tcBorders/>
            <w:shd w:fill="CCEEFF" w:val="clear"/>
            <w:vAlign w:val="bottom"/>
          </w:tcPr>
          <w:p>
            <w:pPr>
              <w:pStyle w:val="TableContents"/>
              <w:bidi w:val="0"/>
              <w:spacing w:before="0" w:after="283"/>
              <w:jc w:val="left"/>
              <w:rPr/>
            </w:pPr>
            <w:r>
              <w:rPr/>
              <w:t>) </w:t>
            </w:r>
          </w:p>
        </w:tc>
      </w:tr>
      <w:tr>
        <w:trPr/>
        <w:tc>
          <w:tcPr>
            <w:tcW w:w="302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8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36"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65</w:t>
            </w:r>
          </w:p>
        </w:tc>
        <w:tc>
          <w:tcPr>
            <w:tcW w:w="354" w:type="dxa"/>
            <w:tcBorders/>
            <w:vAlign w:val="bottom"/>
          </w:tcPr>
          <w:p>
            <w:pPr>
              <w:pStyle w:val="TableContents"/>
              <w:bidi w:val="0"/>
              <w:spacing w:before="0" w:after="283"/>
              <w:jc w:val="left"/>
              <w:rPr/>
            </w:pPr>
            <w:r>
              <w:rPr/>
              <w:t> </w:t>
            </w:r>
          </w:p>
        </w:tc>
      </w:tr>
      <w:tr>
        <w:trPr/>
        <w:tc>
          <w:tcPr>
            <w:tcW w:w="3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68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(9</w:t>
            </w:r>
          </w:p>
        </w:tc>
        <w:tc>
          <w:tcPr>
            <w:tcW w:w="35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relative mix of earnings and losses by jurisdiction, the deduction for foreign-derived intangible income, credits and tax holidays in Malaysia that have or will expire at various dates during years 2025 through 2031 resulted in decreases to the effective tax rate below the U.S. statutory rate for the three and six months ended December 27, 2024. However, the tax effects of the mandatory capitalization of R&amp;D expenses offset these decreases, resulting in the effective tax rate being closer to the U.S. Federal statutory rate for the six months ended December 27, 2024.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regarding income tax expense, see Note 12, Income Tax Expense, in the Notes to the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Summary Comparison of 2024,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the periods presented, selected summary information from our Combined Statements of Operations by dollars and percentage of net revenue(1):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5"/>
        <w:gridCol w:w="190"/>
        <w:gridCol w:w="140"/>
        <w:gridCol w:w="577"/>
        <w:gridCol w:w="155"/>
        <w:gridCol w:w="138"/>
        <w:gridCol w:w="60"/>
        <w:gridCol w:w="577"/>
        <w:gridCol w:w="350"/>
        <w:gridCol w:w="138"/>
        <w:gridCol w:w="140"/>
        <w:gridCol w:w="686"/>
        <w:gridCol w:w="155"/>
        <w:gridCol w:w="138"/>
        <w:gridCol w:w="60"/>
        <w:gridCol w:w="577"/>
        <w:gridCol w:w="350"/>
        <w:gridCol w:w="138"/>
        <w:gridCol w:w="140"/>
        <w:gridCol w:w="577"/>
        <w:gridCol w:w="154"/>
        <w:gridCol w:w="138"/>
        <w:gridCol w:w="60"/>
        <w:gridCol w:w="577"/>
        <w:gridCol w:w="295"/>
      </w:tblGrid>
      <w:tr>
        <w:trPr/>
        <w:tc>
          <w:tcPr>
            <w:tcW w:w="369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7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95"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25" w:type="dxa"/>
            <w:gridSpan w:val="22"/>
            <w:tcBorders/>
            <w:vAlign w:val="bottom"/>
          </w:tcPr>
          <w:p>
            <w:pPr>
              <w:pStyle w:val="TableContents"/>
              <w:bidi w:val="0"/>
              <w:spacing w:before="0" w:after="283"/>
              <w:jc w:val="center"/>
              <w:rPr>
                <w:i/>
              </w:rPr>
            </w:pPr>
            <w:r>
              <w:rPr>
                <w:i/>
              </w:rPr>
              <w:t>(in millions, except percentages)</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6,663</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100.0</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6,086</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100.0</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9,754</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100.0</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5,591</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83.9</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5,656</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92.9</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6,510</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66.7</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1,072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16.1</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7.1</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3,244</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33.3</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1,061</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15.9</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1,167</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19.2</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1,362</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14.0</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455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6.8</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558</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9.2</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666</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6.8</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(0.6</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16</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0.2</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671</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11.0</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1,540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23.1</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2,465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40.5</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2,044</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21.0</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(468</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(7.0</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(2,035</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(33.4</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1,200</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12.3</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(expense):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0.2</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0.3</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6</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0.1</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(0.6</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(0.5</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(15</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(0.2</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(0.1</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0.7</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43</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0.4</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(expense), net</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(0.5</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0.5</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34</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0.3</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(503</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(7.5</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(2,002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(32.9</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1,234</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12.7</w:t>
            </w:r>
          </w:p>
        </w:tc>
        <w:tc>
          <w:tcPr>
            <w:tcW w:w="295" w:type="dxa"/>
            <w:tcBorders/>
            <w:shd w:fill="CCEEFF" w:val="clear"/>
            <w:vAlign w:val="bottom"/>
          </w:tcPr>
          <w:p>
            <w:pPr>
              <w:pStyle w:val="TableContents"/>
              <w:bidi w:val="0"/>
              <w:spacing w:before="0" w:after="283"/>
              <w:jc w:val="left"/>
              <w:rPr/>
            </w:pPr>
            <w:r>
              <w:rPr/>
              <w:t> </w:t>
            </w:r>
          </w:p>
        </w:tc>
      </w:tr>
      <w:tr>
        <w:trPr/>
        <w:tc>
          <w:tcPr>
            <w:tcW w:w="369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169</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170</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1.7</w:t>
            </w:r>
          </w:p>
        </w:tc>
        <w:tc>
          <w:tcPr>
            <w:tcW w:w="295" w:type="dxa"/>
            <w:tcBorders/>
            <w:vAlign w:val="bottom"/>
          </w:tcPr>
          <w:p>
            <w:pPr>
              <w:pStyle w:val="TableContents"/>
              <w:bidi w:val="0"/>
              <w:spacing w:before="0" w:after="283"/>
              <w:jc w:val="left"/>
              <w:rPr/>
            </w:pPr>
            <w:r>
              <w:rPr/>
              <w:t> </w:t>
            </w:r>
          </w:p>
        </w:tc>
      </w:tr>
      <w:tr>
        <w:trPr/>
        <w:tc>
          <w:tcPr>
            <w:tcW w:w="3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(672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(2,143</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(35.2</w:t>
            </w:r>
          </w:p>
        </w:tc>
        <w:tc>
          <w:tcPr>
            <w:tcW w:w="35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1,064</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10.9</w:t>
            </w:r>
          </w:p>
        </w:tc>
        <w:tc>
          <w:tcPr>
            <w:tcW w:w="29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may not total due to rounding.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the periods presented, summary information regarding our disaggregated revenue: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74"/>
        <w:gridCol w:w="336"/>
        <w:gridCol w:w="140"/>
        <w:gridCol w:w="561"/>
        <w:gridCol w:w="60"/>
        <w:gridCol w:w="336"/>
        <w:gridCol w:w="140"/>
        <w:gridCol w:w="561"/>
        <w:gridCol w:w="60"/>
        <w:gridCol w:w="336"/>
        <w:gridCol w:w="140"/>
        <w:gridCol w:w="561"/>
        <w:gridCol w:w="67"/>
      </w:tblGrid>
      <w:tr>
        <w:trPr/>
        <w:tc>
          <w:tcPr>
            <w:tcW w:w="5274"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74"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5274"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895" w:type="dxa"/>
            <w:gridSpan w:val="10"/>
            <w:tcBorders/>
            <w:vAlign w:val="bottom"/>
          </w:tcPr>
          <w:p>
            <w:pPr>
              <w:pStyle w:val="TableContents"/>
              <w:bidi w:val="0"/>
              <w:spacing w:before="0" w:after="283"/>
              <w:jc w:val="center"/>
              <w:rPr>
                <w:i/>
              </w:rPr>
            </w:pPr>
            <w:r>
              <w:rPr>
                <w:i/>
              </w:rPr>
              <w:t>(in millions)</w:t>
            </w:r>
          </w:p>
        </w:tc>
        <w:tc>
          <w:tcPr>
            <w:tcW w:w="67" w:type="dxa"/>
            <w:tcBorders/>
            <w:vAlign w:val="bottom"/>
          </w:tcPr>
          <w:p>
            <w:pPr>
              <w:pStyle w:val="TableContents"/>
              <w:bidi w:val="0"/>
              <w:spacing w:before="0" w:after="283"/>
              <w:jc w:val="left"/>
              <w:rPr/>
            </w:pPr>
            <w:r>
              <w:rPr/>
              <w:t> </w:t>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by end market</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Cloud</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1,264</w:t>
            </w:r>
          </w:p>
        </w:tc>
        <w:tc>
          <w:tcPr>
            <w:tcW w:w="67" w:type="dxa"/>
            <w:tcBorders/>
            <w:vAlign w:val="bottom"/>
          </w:tcPr>
          <w:p>
            <w:pPr>
              <w:pStyle w:val="TableContents"/>
              <w:bidi w:val="0"/>
              <w:spacing w:before="0" w:after="283"/>
              <w:jc w:val="left"/>
              <w:rPr/>
            </w:pPr>
            <w:r>
              <w:rPr/>
              <w:t> </w:t>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Client</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4,069</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3,637</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6,038</w:t>
            </w:r>
          </w:p>
        </w:tc>
        <w:tc>
          <w:tcPr>
            <w:tcW w:w="67" w:type="dxa"/>
            <w:tcBorders/>
            <w:shd w:fill="CCEEFF" w:val="clear"/>
            <w:vAlign w:val="bottom"/>
          </w:tcPr>
          <w:p>
            <w:pPr>
              <w:pStyle w:val="TableContents"/>
              <w:bidi w:val="0"/>
              <w:spacing w:before="0" w:after="283"/>
              <w:jc w:val="left"/>
              <w:rPr/>
            </w:pPr>
            <w:r>
              <w:rPr/>
              <w:t> </w:t>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Consumer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2,269</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1,949</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2,452</w:t>
            </w:r>
          </w:p>
        </w:tc>
        <w:tc>
          <w:tcPr>
            <w:tcW w:w="67" w:type="dxa"/>
            <w:tcBorders/>
            <w:vAlign w:val="bottom"/>
          </w:tcPr>
          <w:p>
            <w:pPr>
              <w:pStyle w:val="TableContents"/>
              <w:bidi w:val="0"/>
              <w:spacing w:before="0" w:after="283"/>
              <w:jc w:val="left"/>
              <w:rPr/>
            </w:pPr>
            <w:r>
              <w:rPr/>
              <w:t> </w:t>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6,663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6,086</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9,754</w:t>
            </w:r>
          </w:p>
        </w:tc>
        <w:tc>
          <w:tcPr>
            <w:tcW w:w="67" w:type="dxa"/>
            <w:tcBorders/>
            <w:shd w:fill="CCEEFF" w:val="clear"/>
            <w:vAlign w:val="bottom"/>
          </w:tcPr>
          <w:p>
            <w:pPr>
              <w:pStyle w:val="TableContents"/>
              <w:bidi w:val="0"/>
              <w:spacing w:before="0" w:after="283"/>
              <w:jc w:val="left"/>
              <w:rPr/>
            </w:pPr>
            <w:r>
              <w:rPr/>
              <w:t> </w:t>
            </w:r>
          </w:p>
        </w:tc>
      </w:tr>
      <w:tr>
        <w:trPr/>
        <w:tc>
          <w:tcPr>
            <w:tcW w:w="5274"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Revenue by geography</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1,095</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1,266</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1,921</w:t>
            </w:r>
          </w:p>
        </w:tc>
        <w:tc>
          <w:tcPr>
            <w:tcW w:w="67" w:type="dxa"/>
            <w:tcBorders/>
            <w:shd w:fill="CCEEFF" w:val="clear"/>
            <w:vAlign w:val="bottom"/>
          </w:tcPr>
          <w:p>
            <w:pPr>
              <w:pStyle w:val="TableContents"/>
              <w:bidi w:val="0"/>
              <w:spacing w:before="0" w:after="283"/>
              <w:jc w:val="left"/>
              <w:rPr/>
            </w:pPr>
            <w:r>
              <w:rPr/>
              <w:t> </w:t>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1,058</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930</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1,349</w:t>
            </w:r>
          </w:p>
        </w:tc>
        <w:tc>
          <w:tcPr>
            <w:tcW w:w="67" w:type="dxa"/>
            <w:tcBorders/>
            <w:vAlign w:val="bottom"/>
          </w:tcPr>
          <w:p>
            <w:pPr>
              <w:pStyle w:val="TableContents"/>
              <w:bidi w:val="0"/>
              <w:spacing w:before="0" w:after="283"/>
              <w:jc w:val="left"/>
              <w:rPr/>
            </w:pPr>
            <w:r>
              <w:rPr/>
              <w:t> </w:t>
            </w:r>
          </w:p>
        </w:tc>
      </w:tr>
      <w:tr>
        <w:trPr/>
        <w:tc>
          <w:tcPr>
            <w:tcW w:w="5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4,510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3,890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6,484</w:t>
            </w:r>
          </w:p>
        </w:tc>
        <w:tc>
          <w:tcPr>
            <w:tcW w:w="67" w:type="dxa"/>
            <w:tcBorders/>
            <w:shd w:fill="CCEEFF" w:val="clear"/>
            <w:vAlign w:val="bottom"/>
          </w:tcPr>
          <w:p>
            <w:pPr>
              <w:pStyle w:val="TableContents"/>
              <w:bidi w:val="0"/>
              <w:spacing w:before="0" w:after="283"/>
              <w:jc w:val="left"/>
              <w:rPr/>
            </w:pPr>
            <w:r>
              <w:rPr/>
              <w:t> </w:t>
            </w:r>
          </w:p>
        </w:tc>
      </w:tr>
      <w:tr>
        <w:trPr/>
        <w:tc>
          <w:tcPr>
            <w:tcW w:w="5274"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6,663</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6,086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9,754</w:t>
            </w:r>
          </w:p>
        </w:tc>
        <w:tc>
          <w:tcPr>
            <w:tcW w:w="67" w:type="dxa"/>
            <w:tcBorders/>
            <w:vAlign w:val="bottom"/>
          </w:tcPr>
          <w:p>
            <w:pPr>
              <w:pStyle w:val="TableContents"/>
              <w:bidi w:val="0"/>
              <w:spacing w:before="0" w:after="283"/>
              <w:jc w:val="left"/>
              <w:rPr/>
            </w:pPr>
            <w:r>
              <w:rPr/>
              <w:t> </w:t>
            </w:r>
          </w:p>
        </w:tc>
      </w:tr>
      <w:tr>
        <w:trPr/>
        <w:tc>
          <w:tcPr>
            <w:tcW w:w="5274"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Revenue </w:t>
      </w:r>
    </w:p>
    <w:p>
      <w:pPr>
        <w:pStyle w:val="TextBody"/>
        <w:bidi w:val="0"/>
        <w:spacing w:before="120" w:after="0"/>
        <w:jc w:val="left"/>
        <w:rPr>
          <w:rFonts w:ascii="Times New Roman" w:hAnsi="Times New Roman"/>
          <w:i/>
          <w:sz w:val="20"/>
        </w:rPr>
      </w:pPr>
      <w:r>
        <w:rPr>
          <w:rFonts w:ascii="Times New Roman" w:hAnsi="Times New Roman"/>
          <w:i/>
          <w:sz w:val="20"/>
        </w:rPr>
        <w:t xml:space="preserve">Year ended June 28, 2024 compared with year ended June 30, 2023 </w:t>
      </w:r>
    </w:p>
    <w:p>
      <w:pPr>
        <w:pStyle w:val="TextBody"/>
        <w:bidi w:val="0"/>
        <w:spacing w:before="120" w:after="0"/>
        <w:jc w:val="left"/>
        <w:rPr>
          <w:rFonts w:ascii="Times New Roman" w:hAnsi="Times New Roman"/>
          <w:sz w:val="20"/>
        </w:rPr>
      </w:pPr>
      <w:r>
        <w:rPr>
          <w:rFonts w:ascii="Times New Roman" w:hAnsi="Times New Roman"/>
          <w:sz w:val="20"/>
        </w:rPr>
        <w:t xml:space="preserve">Net revenue increased 9% in 2024 compared to 2023, primarily driven by a 21% increase in exabytes sold, partially offset by an 8% decline in ASP per gigabyte. The increase in exabytes sold was primarily driven by improved demand from our OEM customers in our Client end market, and higher shipments of SSDs to our customers in our Consumer end market, partially offset by lower shipments in our Cloud end market. The decrease in ASP per gigabyte was primarily driven by the supply-demand imbalance in the first half of the year, prior to the recent improvement in supply-demand conditions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35% decrease in Cloud revenue in 2024 compared to 2023, is primarily due to a 31% decrease in exabytes shipments and a 5% decrease in ASP per gigabyte. The decline in ASP per gigabyte was primarily attributable to the factors described above. In Client, the 12% increase in revenue in 2024 compared to 2023 reflects a 24% increase in exabyte shipments, partially offset by a 5% decrease in ASP per gigabyte. In Consumer, the 16% increase in revenues in 2024 compared to 2023 was due to a 32% increase in exabytes sold, partially offset by a 10% decrease in ASP per gigabyte.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net revenue by geography in 2024, compared to 2023, primarily reflected larger growth in Asia from OEMs in this region as their production levels increased as well as routine variations in the mix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June 30, 2023 compared with year ended July 1, 2022 </w:t>
      </w:r>
    </w:p>
    <w:p>
      <w:pPr>
        <w:pStyle w:val="TextBody"/>
        <w:bidi w:val="0"/>
        <w:spacing w:before="120" w:after="0"/>
        <w:jc w:val="left"/>
        <w:rPr>
          <w:rFonts w:ascii="Times New Roman" w:hAnsi="Times New Roman"/>
          <w:sz w:val="20"/>
        </w:rPr>
      </w:pPr>
      <w:r>
        <w:rPr>
          <w:rFonts w:ascii="Times New Roman" w:hAnsi="Times New Roman"/>
          <w:sz w:val="20"/>
        </w:rPr>
        <w:t xml:space="preserve">Net revenue decreased 38% in 2023 compared to 2022, substantially all driven by a decline in the ASP of 39% per gigabyte, primarily reflecting the macroeconomic pressures described in the Operational Update above. The decline in the ASP per gigabyte was due to the supply-demand imbalance described in the OverviewOperational Update section above as well as a shift in product mix. </w:t>
      </w:r>
    </w:p>
    <w:p>
      <w:pPr>
        <w:pStyle w:val="TextBody"/>
        <w:bidi w:val="0"/>
        <w:spacing w:before="240" w:after="0"/>
        <w:jc w:val="left"/>
        <w:rPr>
          <w:rFonts w:ascii="Times New Roman" w:hAnsi="Times New Roman"/>
          <w:sz w:val="20"/>
        </w:rPr>
      </w:pPr>
      <w:r>
        <w:rPr>
          <w:rFonts w:ascii="Times New Roman" w:hAnsi="Times New Roman"/>
          <w:sz w:val="20"/>
        </w:rPr>
        <w:t xml:space="preserve">The 60% decrease in Cloud revenue in 2023 compared to 2022, is primarily due to a 28% decrease in exabytes shipments and a 45% decrease in ASP per gigabyte. The decline in ASP per gigabyte was primarily attributable to the factors described in the OverviewOperational Update section above. In Client, the 40% decrease in revenue in 2023 compared to 2022 reflects a decline of 42% decrease in ASP per gigabyte, due to pricing pressure across flash products. In Consumer, the 21% decrease in revenues in 2023 compared to 2022 was due to approximately 30% decrease in ASP per gigabyte, partially offset by a 14% increase in exabytes sold.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net revenue by geography in 2023, compared to 2022, reflect a 40% decline in Asia from lower Client revenue from OEMs in this region as they reduced purchases to align with current market demand. </w:t>
      </w:r>
    </w:p>
    <w:p>
      <w:pPr>
        <w:pStyle w:val="TextBody"/>
        <w:bidi w:val="0"/>
        <w:spacing w:before="240" w:after="0"/>
        <w:jc w:val="left"/>
        <w:rPr>
          <w:rFonts w:ascii="Times New Roman" w:hAnsi="Times New Roman"/>
          <w:sz w:val="20"/>
        </w:rPr>
      </w:pPr>
      <w:r>
        <w:rPr>
          <w:rFonts w:ascii="Times New Roman" w:hAnsi="Times New Roman"/>
          <w:sz w:val="20"/>
        </w:rPr>
        <w:t xml:space="preserve">For 2024, 2023 and 2022, our top 10 customers accounted for 41%, 47% and 47%, respectively, of our net revenue. For 2024 no single customer accounted for more than 10% of our net revenue. For 2023 and 2022, one customer accounted for 15% and 11%, respectively, of our net revenue.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standard industry practice, we have sales incentive and marketing programs that provide customers with price protection and other incentives or reimbursements that are recorded as a reduction to gross revenue. For 2024, 2023 and 2022, these programs represented 19%, 21% and 15%,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and Gross Margin </w:t>
      </w:r>
    </w:p>
    <w:p>
      <w:pPr>
        <w:pStyle w:val="TextBody"/>
        <w:bidi w:val="0"/>
        <w:spacing w:before="120" w:after="0"/>
        <w:jc w:val="left"/>
        <w:rPr>
          <w:rFonts w:ascii="Times New Roman" w:hAnsi="Times New Roman"/>
          <w:i/>
          <w:sz w:val="20"/>
        </w:rPr>
      </w:pPr>
      <w:r>
        <w:rPr>
          <w:rFonts w:ascii="Times New Roman" w:hAnsi="Times New Roman"/>
          <w:i/>
          <w:sz w:val="20"/>
        </w:rPr>
        <w:t xml:space="preserve">Year ended June 28, 2024 compared with year ended June 30, 2023 </w:t>
      </w:r>
    </w:p>
    <w:p>
      <w:pPr>
        <w:pStyle w:val="TextBody"/>
        <w:bidi w:val="0"/>
        <w:spacing w:before="120" w:after="0"/>
        <w:jc w:val="left"/>
        <w:rPr>
          <w:rFonts w:ascii="Times New Roman" w:hAnsi="Times New Roman"/>
          <w:sz w:val="20"/>
        </w:rPr>
      </w:pPr>
      <w:r>
        <w:rPr>
          <w:rFonts w:ascii="Times New Roman" w:hAnsi="Times New Roman"/>
          <w:sz w:val="20"/>
        </w:rPr>
        <w:t xml:space="preserve">Gross profit increased $642 million, or 149%, in 2024 compared to 2023, largely due to higher revenue, cost reductions due to cost efficiencies achieved through improved manufacturing operations and cost-saving actions and a more favorable product mix. The increase also reflected charges of approximately $252 million for unabsorbed manufacturing overhead costs as a result of the increased utilization of our manufacturing capacity in 2024 as compared to $296 million of such costs in 2023, and a $54 million write-down of Flash inventory as a result of the decreases in market pricing in 2024 compared to charges of $108 million of such costs in 2023. Gross margin increased 9% over the prior year with approximately 2% of the increase due to the net charges noted above and the remainder driven by improving pricing, cost reduction initiatives and a favorable shift in product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Year ended June 30, 2023 compared with year ended July 1, 2022 </w:t>
      </w:r>
    </w:p>
    <w:p>
      <w:pPr>
        <w:pStyle w:val="TextBody"/>
        <w:bidi w:val="0"/>
        <w:spacing w:before="120" w:after="0"/>
        <w:jc w:val="left"/>
        <w:rPr>
          <w:rFonts w:ascii="Times New Roman" w:hAnsi="Times New Roman"/>
          <w:sz w:val="20"/>
        </w:rPr>
      </w:pPr>
      <w:r>
        <w:rPr>
          <w:rFonts w:ascii="Times New Roman" w:hAnsi="Times New Roman"/>
          <w:sz w:val="20"/>
        </w:rPr>
        <w:t xml:space="preserve">Gross profit decreased $2.8 billion, or 87%, in 2023 compared to 2022, which reflected the decrease in revenue described above as well as $296 million charges for unabsorbed manufacturing overhead costs as a result of the reduced utilization of our manufacturing capacity, and a $108 million write-down of certain flash inventory to the lower of cost or market value, partially offset by $207 million of charges related to a contamination event in the Flash Ventures fabrication facilities incurred in 2022, and a $64 million decrease in charges related to amortization expense on acquired intangible assets, some of which became fully amortized in 2023. Gross margin decreased 26% over 2022, with approximately 4% of the decline due to the net charges noted above and the remainder driven by the lower ASP per gigabyte.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Year ended June 28, 2024 compared with year ended June 30, 2023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decreased $106 million or 9% in 2024 compared to 2023, which reflects a decrease of $57 million in compensation and benefits due to reduced headcount, a decrease of $36 million in costs related to a reduction in our portion of development costs of the fabrication facilities of Flash Ventures, a decrease of $22 million in depreciation and amortization attributable to lower capital expenditures and a decrease of $6 million in outside services, which were partially offset by an increase of $15 million in material purchases.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 decreased $103 million or 18% in 2024 compared to 2023. This decrease was driven by a decrease of $133 million in intangible amortization expense and a decrease of $6 million in all othermiscellaneous costs, partially offset by an increase of $19 million in compensation and benefits due to an increase in variable compensation and an increase of $17 million in material purchases. </w:t>
      </w:r>
    </w:p>
    <w:p>
      <w:pPr>
        <w:pStyle w:val="TextBody"/>
        <w:bidi w:val="0"/>
        <w:spacing w:before="240" w:after="0"/>
        <w:jc w:val="left"/>
        <w:rPr>
          <w:rFonts w:ascii="Times New Roman" w:hAnsi="Times New Roman"/>
          <w:sz w:val="20"/>
        </w:rPr>
      </w:pPr>
      <w:r>
        <w:rPr>
          <w:rFonts w:ascii="Times New Roman" w:hAnsi="Times New Roman"/>
          <w:sz w:val="20"/>
        </w:rPr>
        <w:t xml:space="preserve">Employee termination, asset impairment and other decreased $109 million or 158% compared to 2023, due to a $60 million gain on the sale-leaseback of the Milpitas California facility and a $53 million decrease in employee termination costs as a result of fewer restructuring actions taken in the current period, partially offset by $4 million related to asset impairment caused by project cancellations. For additional information regarding employee termination, asset impairment and other charges, see Note 13, Employee Termination, Asset Impairment and Other, in the Notes to Combined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June 30, 2023 compared with year ended July 1, 2022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decreased $195 million or 14% in 2023 compared to 2022, which reflects a decrease of $123 million in compensation and benefits due to lower variable compensation and a reduced headcount, a decrease of $25 million in materials cost related to product samples, as well as savings resulting from our actions to reduce expenses in the dynamic economic environment in 2023.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 decreased $108 million or 16% in 2023 compared to 2022, which reflects a decrease of $60 million in compensation and benefits due to lower variable compensation and a reduced headcount, a decrease of $23 million in materials cost related to product samples, a decrease of $22 million in intangible amortization expense due to certain intangible assets becoming fully amortized in 2023, as well as savings resulting from our actions to reduce expenses in the dynamic economic environment in 2023. The decrease was partially offset by a $20 million charges related to our strategic review. </w:t>
      </w:r>
    </w:p>
    <w:p>
      <w:pPr>
        <w:pStyle w:val="TextBody"/>
        <w:bidi w:val="0"/>
        <w:spacing w:before="240" w:after="0"/>
        <w:jc w:val="left"/>
        <w:rPr>
          <w:rFonts w:ascii="Times New Roman" w:hAnsi="Times New Roman"/>
          <w:sz w:val="20"/>
        </w:rPr>
      </w:pPr>
      <w:r>
        <w:rPr>
          <w:rFonts w:ascii="Times New Roman" w:hAnsi="Times New Roman"/>
          <w:sz w:val="20"/>
        </w:rPr>
        <w:t>Employee termination, asset impairment and other increased $53 million or 331% compared to 2022, due to an increase of $46 million in restructuring actions taken to adjust our cost structure to align with the current demand environment and a $9 million gain on sale of a business in 2022, partially offset by a decrease of $2 million in loss on disposal of assets. For additional information regarding employee termination, asset impairment and other charges, see Note 13, Employee Termination, Asset Impairment and Other</w:t>
      </w:r>
      <w:r>
        <w:rPr>
          <w:rFonts w:ascii="Times New Roman" w:hAnsi="Times New Roman"/>
          <w:i/>
          <w:sz w:val="20"/>
        </w:rPr>
        <w:t>,</w:t>
      </w:r>
      <w:r>
        <w:rPr>
          <w:rFonts w:ascii="Times New Roman" w:hAnsi="Times New Roman"/>
          <w:sz w:val="20"/>
        </w:rPr>
        <w:t xml:space="preserve"> in the Notes to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and 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Year ended June 28, 2024 compared with year ended June 30, 2023 </w:t>
      </w:r>
    </w:p>
    <w:p>
      <w:pPr>
        <w:pStyle w:val="TextBody"/>
        <w:bidi w:val="0"/>
        <w:spacing w:before="120" w:after="0"/>
        <w:jc w:val="left"/>
        <w:rPr>
          <w:rFonts w:ascii="Times New Roman" w:hAnsi="Times New Roman"/>
          <w:sz w:val="20"/>
        </w:rPr>
      </w:pPr>
      <w:r>
        <w:rPr>
          <w:rFonts w:ascii="Times New Roman" w:hAnsi="Times New Roman"/>
          <w:sz w:val="20"/>
        </w:rPr>
        <w:t xml:space="preserve">The total interest and other income (expense), net decreased $68 million or 206% in 2024 compared to 2023. This decline was primarily driven by a $48 million decrease in equity earnings from Flash Ventures, coupled with a decrease of $9 million in interest income and a corresponding increase of $9 million in interest expense.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June 30, 2023 compared with year ended July 1, 2022 </w:t>
      </w:r>
    </w:p>
    <w:p>
      <w:pPr>
        <w:pStyle w:val="TextBody"/>
        <w:bidi w:val="0"/>
        <w:spacing w:before="120" w:after="0"/>
        <w:jc w:val="left"/>
        <w:rPr>
          <w:rFonts w:ascii="Times New Roman" w:hAnsi="Times New Roman"/>
          <w:sz w:val="20"/>
        </w:rPr>
      </w:pPr>
      <w:r>
        <w:rPr>
          <w:rFonts w:ascii="Times New Roman" w:hAnsi="Times New Roman"/>
          <w:sz w:val="20"/>
        </w:rPr>
        <w:t xml:space="preserve">The total interest and other income (expense), net decrease of $1 million or 3% in 2023 compared to 2022, which was primarily driven by an increase of $16 million in interest expense, partially offset by an increase of $15 million in interest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2017 Act includes a broad range of tax reform proposals affecting businesses. WDC completed its accounting for the tax effects of the enactment of the 2017 Act during the second quarter of 2019. However, the U.S. Treasury and the IRS have issued tax guidance on certain provisions of the 2017 Act since the enactment date, and Sandisk anticipates the issuance of additional regulatory and interpretive guidance. WDC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our estimates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2022, President Biden signed into law the Inflation Reduction Act of 2022, which contained significant law changes related to tax, climate, energy and health care. The tax measures include, among other things, a corporate alternative minimum tax or CAMT, of 15% on corporations with three-year average annual adjusted financial statement income, or AFSI, exceeding $1.00 billion. We are not subject to the CAMT of 15% for fiscal year 2024 as our average annual AFSI did not exceed $1.00 billion for the preceding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income tax information from our Statement of Operations by dollar and effective tax rate: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68"/>
        <w:gridCol w:w="452"/>
        <w:gridCol w:w="145"/>
        <w:gridCol w:w="482"/>
        <w:gridCol w:w="381"/>
        <w:gridCol w:w="350"/>
        <w:gridCol w:w="145"/>
        <w:gridCol w:w="703"/>
        <w:gridCol w:w="381"/>
        <w:gridCol w:w="350"/>
        <w:gridCol w:w="145"/>
        <w:gridCol w:w="587"/>
        <w:gridCol w:w="283"/>
      </w:tblGrid>
      <w:tr>
        <w:trPr/>
        <w:tc>
          <w:tcPr>
            <w:tcW w:w="4168"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168"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81"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81"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7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3" w:type="dxa"/>
            <w:tcBorders/>
            <w:vAlign w:val="bottom"/>
          </w:tcPr>
          <w:p>
            <w:pPr>
              <w:pStyle w:val="TableContents"/>
              <w:bidi w:val="0"/>
              <w:spacing w:before="0" w:after="283"/>
              <w:jc w:val="left"/>
              <w:rPr/>
            </w:pPr>
            <w:r>
              <w:rPr/>
              <w:t> </w:t>
            </w:r>
          </w:p>
        </w:tc>
      </w:tr>
      <w:tr>
        <w:trPr/>
        <w:tc>
          <w:tcPr>
            <w:tcW w:w="4168"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669" w:type="dxa"/>
            <w:gridSpan w:val="10"/>
            <w:tcBorders/>
            <w:vAlign w:val="bottom"/>
          </w:tcPr>
          <w:p>
            <w:pPr>
              <w:pStyle w:val="TableContents"/>
              <w:bidi w:val="0"/>
              <w:spacing w:before="0" w:after="283"/>
              <w:jc w:val="center"/>
              <w:rPr>
                <w:i/>
              </w:rPr>
            </w:pPr>
            <w:r>
              <w:rPr>
                <w:i/>
              </w:rPr>
              <w:t>(in millions, except percentages)</w:t>
            </w:r>
          </w:p>
        </w:tc>
        <w:tc>
          <w:tcPr>
            <w:tcW w:w="283" w:type="dxa"/>
            <w:tcBorders/>
            <w:vAlign w:val="bottom"/>
          </w:tcPr>
          <w:p>
            <w:pPr>
              <w:pStyle w:val="TableContents"/>
              <w:bidi w:val="0"/>
              <w:spacing w:before="0" w:after="283"/>
              <w:jc w:val="left"/>
              <w:rPr/>
            </w:pPr>
            <w:r>
              <w:rPr/>
              <w:t> </w:t>
            </w:r>
          </w:p>
        </w:tc>
      </w:tr>
      <w:tr>
        <w:trPr/>
        <w:tc>
          <w:tcPr>
            <w:tcW w:w="4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4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82" w:type="dxa"/>
            <w:tcBorders/>
            <w:shd w:fill="CCEEFF" w:val="clear"/>
            <w:vAlign w:val="bottom"/>
          </w:tcPr>
          <w:p>
            <w:pPr>
              <w:pStyle w:val="TableContents"/>
              <w:bidi w:val="0"/>
              <w:spacing w:before="0" w:after="283"/>
              <w:jc w:val="right"/>
              <w:rPr/>
            </w:pPr>
            <w:r>
              <w:rPr/>
              <w:t>(503</w:t>
            </w:r>
          </w:p>
        </w:tc>
        <w:tc>
          <w:tcPr>
            <w:tcW w:w="381"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(2,002</w:t>
            </w:r>
          </w:p>
        </w:tc>
        <w:tc>
          <w:tcPr>
            <w:tcW w:w="381"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1,234</w:t>
            </w:r>
          </w:p>
        </w:tc>
        <w:tc>
          <w:tcPr>
            <w:tcW w:w="283" w:type="dxa"/>
            <w:tcBorders/>
            <w:shd w:fill="CCEEFF" w:val="clear"/>
            <w:vAlign w:val="bottom"/>
          </w:tcPr>
          <w:p>
            <w:pPr>
              <w:pStyle w:val="TableContents"/>
              <w:bidi w:val="0"/>
              <w:spacing w:before="0" w:after="283"/>
              <w:jc w:val="left"/>
              <w:rPr/>
            </w:pPr>
            <w:r>
              <w:rPr/>
              <w:t> </w:t>
            </w:r>
          </w:p>
        </w:tc>
      </w:tr>
      <w:tr>
        <w:trPr/>
        <w:tc>
          <w:tcPr>
            <w:tcW w:w="416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169</w:t>
            </w:r>
          </w:p>
        </w:tc>
        <w:tc>
          <w:tcPr>
            <w:tcW w:w="381"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141</w:t>
            </w:r>
          </w:p>
        </w:tc>
        <w:tc>
          <w:tcPr>
            <w:tcW w:w="381"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170</w:t>
            </w:r>
          </w:p>
        </w:tc>
        <w:tc>
          <w:tcPr>
            <w:tcW w:w="283" w:type="dxa"/>
            <w:tcBorders/>
            <w:vAlign w:val="bottom"/>
          </w:tcPr>
          <w:p>
            <w:pPr>
              <w:pStyle w:val="TableContents"/>
              <w:bidi w:val="0"/>
              <w:spacing w:before="0" w:after="283"/>
              <w:jc w:val="left"/>
              <w:rPr/>
            </w:pPr>
            <w:r>
              <w:rPr/>
              <w:t> </w:t>
            </w:r>
          </w:p>
        </w:tc>
      </w:tr>
      <w:tr>
        <w:trPr/>
        <w:tc>
          <w:tcPr>
            <w:tcW w:w="4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4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right"/>
              <w:rPr/>
            </w:pPr>
            <w:r>
              <w:rPr/>
              <w:t>(34</w:t>
            </w:r>
          </w:p>
        </w:tc>
        <w:tc>
          <w:tcPr>
            <w:tcW w:w="381"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(7</w:t>
            </w:r>
          </w:p>
        </w:tc>
        <w:tc>
          <w:tcPr>
            <w:tcW w:w="381"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14</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Beginning in 2023, the 2017 Act requires us to capitalize and amortize research and development expenses rather than expensing them in the year incurred. The tax effects related to the capitalization of research and development expenses are included in income tax expense but did not have a material impact on our effective tax rate. </w:t>
      </w:r>
    </w:p>
    <w:p>
      <w:pPr>
        <w:pStyle w:val="TextBody"/>
        <w:bidi w:val="0"/>
        <w:spacing w:before="240" w:after="0"/>
        <w:jc w:val="left"/>
        <w:rPr>
          <w:rFonts w:ascii="Times New Roman" w:hAnsi="Times New Roman"/>
          <w:sz w:val="20"/>
        </w:rPr>
      </w:pPr>
      <w:r>
        <w:rPr>
          <w:rFonts w:ascii="Times New Roman" w:hAnsi="Times New Roman"/>
          <w:sz w:val="20"/>
        </w:rPr>
        <w:t xml:space="preserve">The primary drivers of the difference between the effective tax rate for 2024 and the U.S. federal statutory rate of 21% are the relative mix of earnings and losses by jurisdiction, the deduction for foreign derived intangible income, credits and tax holidays in Malaysia that will expire at various dates during years 2028 through 2031. </w:t>
      </w:r>
    </w:p>
    <w:p>
      <w:pPr>
        <w:pStyle w:val="TextBody"/>
        <w:bidi w:val="0"/>
        <w:spacing w:before="240" w:after="0"/>
        <w:jc w:val="left"/>
        <w:rPr>
          <w:rFonts w:ascii="Times New Roman" w:hAnsi="Times New Roman"/>
          <w:sz w:val="20"/>
        </w:rPr>
      </w:pPr>
      <w:r>
        <w:rPr>
          <w:rFonts w:ascii="Times New Roman" w:hAnsi="Times New Roman"/>
          <w:sz w:val="20"/>
        </w:rPr>
        <w:t xml:space="preserve">The primary drivers of the difference between the effective tax rate for 2023 and 2022 and the U.S. federal statutory rate of 21% for both periods are the relative mix of earnings and losses by jurisdiction, the deduction for foreign derived intangible income, credits and tax holidays in Malaysia that will expire at various dates during years 2028 through 2031.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future effective tax rate is subject to future regulatory developments and changes in the mix of our U.S. earnings compared to foreign earnings. Our total tax expense in future years may also vary as a result of discrete items such as excess tax benefits or deficiencies.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2021, the OECD/G20 Inclusive Framework on Base Erosion and Profit Shifting released Model Global Anti-Base Erosion rules under Pillar Two (Pillar Two Model Rules). Several non-US jurisdictions have either enacted legislation or announced their intention to enact future legislation to adopt certain or all components of the Pillar Two Model Rules, which may be effective for us as early as 2025. When effective, this legislation could materially increase our tax obligations in certain jurisdictions. We continue to evaluate the tax impact of enacted and future legislation concerning the Pillar Two Model Rules in the non-US tax jurisdictions we operate in.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regarding income tax expense, see Note 12, Income Tax Expense, in the Notes to the Combined Financial Statements.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Quarterly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selected unaudited quarterly financial information for the fiscal quarters ended December 27, 2024, September 27, 2024, June 28, 2024, March 29, 2024, December 29, 2023, September 29, 2023, June 30, 2023, March 31, 2023, and December 30, 2022. The supplemental information below includes condensed combined balance sheets, condensed combined statements of operations and condensed combined cash flows. The information for each of these quarters has been prepared on the same basis as the unaudited condensed combined financial statements and the combined financial statements. Our historical results are not necessarily indicative of the results that should be expected in any future period. Refer to the tables below for quarterly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QUARTERLY CONDENSED COMBINED BALANCE SHEETS </w:t>
      </w:r>
    </w:p>
    <w:p>
      <w:pPr>
        <w:pStyle w:val="TextBody"/>
        <w:bidi w:val="0"/>
        <w:spacing w:before="12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3325" w:type="dxa"/>
        <w:jc w:val="center"/>
        <w:tblInd w:w="0" w:type="dxa"/>
        <w:tblLayout w:type="fixed"/>
        <w:tblCellMar>
          <w:top w:w="0" w:type="dxa"/>
          <w:left w:w="0" w:type="dxa"/>
          <w:bottom w:w="0" w:type="dxa"/>
          <w:right w:w="0" w:type="dxa"/>
        </w:tblCellMar>
      </w:tblPr>
      <w:tblGrid>
        <w:gridCol w:w="1160"/>
        <w:gridCol w:w="60"/>
        <w:gridCol w:w="241"/>
        <w:gridCol w:w="1174"/>
        <w:gridCol w:w="60"/>
        <w:gridCol w:w="60"/>
        <w:gridCol w:w="251"/>
        <w:gridCol w:w="1224"/>
        <w:gridCol w:w="60"/>
        <w:gridCol w:w="60"/>
        <w:gridCol w:w="149"/>
        <w:gridCol w:w="726"/>
        <w:gridCol w:w="60"/>
        <w:gridCol w:w="60"/>
        <w:gridCol w:w="182"/>
        <w:gridCol w:w="888"/>
        <w:gridCol w:w="60"/>
        <w:gridCol w:w="60"/>
        <w:gridCol w:w="241"/>
        <w:gridCol w:w="1174"/>
        <w:gridCol w:w="60"/>
        <w:gridCol w:w="60"/>
        <w:gridCol w:w="251"/>
        <w:gridCol w:w="1224"/>
        <w:gridCol w:w="60"/>
        <w:gridCol w:w="60"/>
        <w:gridCol w:w="149"/>
        <w:gridCol w:w="726"/>
        <w:gridCol w:w="60"/>
        <w:gridCol w:w="60"/>
        <w:gridCol w:w="182"/>
        <w:gridCol w:w="888"/>
        <w:gridCol w:w="60"/>
        <w:gridCol w:w="60"/>
        <w:gridCol w:w="241"/>
        <w:gridCol w:w="1174"/>
        <w:gridCol w:w="60"/>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27,</w:t>
              <w:b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29,</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2022</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158</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935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814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684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539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1,955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1,730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1,612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2,337</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receivable</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289</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Notes due from Parent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441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Assets held for sale</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4,456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4,388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3,276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2,982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4,239</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788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990</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Notes receivable and investments in Flash Ventures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871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1,350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1,411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1,498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1,478</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Goodwill</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6,825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6,932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7,207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7,209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7,212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7,216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7,216</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Other intangibles, net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receivable, non-current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852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909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779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14,234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13,890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13,506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13,328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13,338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13,434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13,820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14,322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14,792</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LIABILITIES AND EQUITY</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386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340</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 to related parties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363</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438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381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443</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Income taxes payable</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compensation</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Notes due to Parent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814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919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852</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Liabilities held for sale</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2,047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2,079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2,174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2,116</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60</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2,233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1,764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2,442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2,509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2,381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2,365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4270" w:type="dxa"/>
        <w:jc w:val="center"/>
        <w:tblInd w:w="0" w:type="dxa"/>
        <w:tblLayout w:type="fixed"/>
        <w:tblCellMar>
          <w:top w:w="0" w:type="dxa"/>
          <w:left w:w="0" w:type="dxa"/>
          <w:bottom w:w="0" w:type="dxa"/>
          <w:right w:w="0" w:type="dxa"/>
        </w:tblCellMar>
      </w:tblPr>
      <w:tblGrid>
        <w:gridCol w:w="1250"/>
        <w:gridCol w:w="60"/>
        <w:gridCol w:w="241"/>
        <w:gridCol w:w="1174"/>
        <w:gridCol w:w="155"/>
        <w:gridCol w:w="60"/>
        <w:gridCol w:w="251"/>
        <w:gridCol w:w="1224"/>
        <w:gridCol w:w="155"/>
        <w:gridCol w:w="60"/>
        <w:gridCol w:w="149"/>
        <w:gridCol w:w="726"/>
        <w:gridCol w:w="155"/>
        <w:gridCol w:w="60"/>
        <w:gridCol w:w="182"/>
        <w:gridCol w:w="888"/>
        <w:gridCol w:w="155"/>
        <w:gridCol w:w="60"/>
        <w:gridCol w:w="241"/>
        <w:gridCol w:w="1174"/>
        <w:gridCol w:w="155"/>
        <w:gridCol w:w="60"/>
        <w:gridCol w:w="251"/>
        <w:gridCol w:w="1224"/>
        <w:gridCol w:w="155"/>
        <w:gridCol w:w="60"/>
        <w:gridCol w:w="149"/>
        <w:gridCol w:w="726"/>
        <w:gridCol w:w="155"/>
        <w:gridCol w:w="60"/>
        <w:gridCol w:w="182"/>
        <w:gridCol w:w="888"/>
        <w:gridCol w:w="155"/>
        <w:gridCol w:w="60"/>
        <w:gridCol w:w="241"/>
        <w:gridCol w:w="1174"/>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27,</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29,</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12,435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11,534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11,339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11,211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11,323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11,782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12,327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12,668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(434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(452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(400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Parent company net investment</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12,001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11,082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10,896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10,925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11,439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12,106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12,427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Parent company net investment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14,234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13,890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13,506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13,328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13,338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13,434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13,820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14,322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14,792</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QUARTERLY CONDENSED COMBINED STATEMENTS OF OPERATIONS </w:t>
      </w:r>
    </w:p>
    <w:p>
      <w:pPr>
        <w:pStyle w:val="TextBody"/>
        <w:bidi w:val="0"/>
        <w:spacing w:before="12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4210" w:type="dxa"/>
        <w:jc w:val="center"/>
        <w:tblInd w:w="0" w:type="dxa"/>
        <w:tblLayout w:type="fixed"/>
        <w:tblCellMar>
          <w:top w:w="0" w:type="dxa"/>
          <w:left w:w="0" w:type="dxa"/>
          <w:bottom w:w="0" w:type="dxa"/>
          <w:right w:w="0" w:type="dxa"/>
        </w:tblCellMar>
      </w:tblPr>
      <w:tblGrid>
        <w:gridCol w:w="1190"/>
        <w:gridCol w:w="60"/>
        <w:gridCol w:w="283"/>
        <w:gridCol w:w="1132"/>
        <w:gridCol w:w="155"/>
        <w:gridCol w:w="60"/>
        <w:gridCol w:w="295"/>
        <w:gridCol w:w="1180"/>
        <w:gridCol w:w="155"/>
        <w:gridCol w:w="60"/>
        <w:gridCol w:w="175"/>
        <w:gridCol w:w="700"/>
        <w:gridCol w:w="155"/>
        <w:gridCol w:w="60"/>
        <w:gridCol w:w="214"/>
        <w:gridCol w:w="856"/>
        <w:gridCol w:w="155"/>
        <w:gridCol w:w="60"/>
        <w:gridCol w:w="283"/>
        <w:gridCol w:w="1132"/>
        <w:gridCol w:w="155"/>
        <w:gridCol w:w="60"/>
        <w:gridCol w:w="295"/>
        <w:gridCol w:w="1180"/>
        <w:gridCol w:w="155"/>
        <w:gridCol w:w="60"/>
        <w:gridCol w:w="175"/>
        <w:gridCol w:w="700"/>
        <w:gridCol w:w="155"/>
        <w:gridCol w:w="60"/>
        <w:gridCol w:w="214"/>
        <w:gridCol w:w="856"/>
        <w:gridCol w:w="155"/>
        <w:gridCol w:w="60"/>
        <w:gridCol w:w="283"/>
        <w:gridCol w:w="1132"/>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27,</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March 29,</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29,</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2022</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1,876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1,883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1,760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1,705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1,533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1,399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1,308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1,657</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1,157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1,242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1,504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1,721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1,551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1,378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1,422</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(loss)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726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636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302</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 charges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business divestiture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 charges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435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614</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(487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(379</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income (expense):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(expense), net</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267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(494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(364</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0" w:type="dxa"/>
            <w:tcBorders/>
            <w:vAlign w:val="bottom"/>
          </w:tcPr>
          <w:p>
            <w:pPr>
              <w:pStyle w:val="TableContents"/>
              <w:bidi w:val="0"/>
              <w:spacing w:before="0" w:after="283"/>
              <w:jc w:val="right"/>
              <w:rPr/>
            </w:pPr>
            <w:r>
              <w:rPr/>
              <w:t>(518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(533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(419</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Quarterly Revenue Trends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quarters ended December 30, 2022, March 31, 2023, and June 30, 2023, there was a decline in revenue due to macroeconomic factors including inflation, higher interest rates and recession concerns, which softened demand for our products, leading to reduced shipments and pricing challenges. In contrast, the quarters ended September 29, 2023, December 29, 2023, March 29, 2024, June 28, 2024, September 27, 2024 and December 27, 2024, showed significant growth compared to the comparable quarters in the prior year, driven primarily by improved supply and demand dynamics and better pricing, which positively impacted our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Quarterly Operating Expense Trends </w:t>
      </w:r>
    </w:p>
    <w:p>
      <w:pPr>
        <w:pStyle w:val="TextBody"/>
        <w:bidi w:val="0"/>
        <w:spacing w:before="120" w:after="0"/>
        <w:jc w:val="left"/>
        <w:rPr>
          <w:rFonts w:ascii="Times New Roman" w:hAnsi="Times New Roman"/>
          <w:sz w:val="20"/>
        </w:rPr>
      </w:pPr>
      <w:r>
        <w:rPr>
          <w:rFonts w:ascii="Times New Roman" w:hAnsi="Times New Roman"/>
          <w:i/>
          <w:sz w:val="20"/>
        </w:rPr>
        <w:t>Research and Development</w:t>
      </w:r>
      <w:r>
        <w:rPr>
          <w:rFonts w:ascii="Times New Roman" w:hAnsi="Times New Roman"/>
          <w:sz w:val="20"/>
        </w:rPr>
        <w:t xml:space="preserve">. The fluctuations in research and development are largely a result of normal fluctuations in compensation and benefits, development costs and depreciation and amortization. </w:t>
      </w:r>
    </w:p>
    <w:p>
      <w:pPr>
        <w:pStyle w:val="TextBody"/>
        <w:bidi w:val="0"/>
        <w:spacing w:before="240" w:after="0"/>
        <w:jc w:val="left"/>
        <w:rPr>
          <w:rFonts w:ascii="Times New Roman" w:hAnsi="Times New Roman"/>
          <w:sz w:val="20"/>
        </w:rPr>
      </w:pPr>
      <w:r>
        <w:rPr>
          <w:rFonts w:ascii="Times New Roman" w:hAnsi="Times New Roman"/>
          <w:i/>
          <w:sz w:val="20"/>
        </w:rPr>
        <w:t>Selling, general and administrative</w:t>
      </w:r>
      <w:r>
        <w:rPr>
          <w:rFonts w:ascii="Times New Roman" w:hAnsi="Times New Roman"/>
          <w:sz w:val="20"/>
        </w:rPr>
        <w:t xml:space="preserve">. For the quarters ended September 30, 2022, through March 29, 2024, selling, general and administrative expenses trended downward primarily driven by reductions in intangible amortization expense, compensation and benefits and materials costs. The driver for the increase in selling, general and administrative expenses in the three months ended June 28, 2024, September 27, 2024, and December 27, 2024 was primarily higher variable compensation, increased headcount and increased legal fees. </w:t>
      </w:r>
    </w:p>
    <w:p>
      <w:pPr>
        <w:pStyle w:val="TextBody"/>
        <w:bidi w:val="0"/>
        <w:spacing w:before="240" w:after="0"/>
        <w:jc w:val="left"/>
        <w:rPr>
          <w:rFonts w:ascii="Times New Roman" w:hAnsi="Times New Roman"/>
          <w:sz w:val="20"/>
        </w:rPr>
      </w:pPr>
      <w:r>
        <w:rPr>
          <w:rFonts w:ascii="Times New Roman" w:hAnsi="Times New Roman"/>
          <w:i/>
          <w:sz w:val="20"/>
        </w:rPr>
        <w:t>Employee termination, asset impairment and other charges</w:t>
      </w:r>
      <w:r>
        <w:rPr>
          <w:rFonts w:ascii="Times New Roman" w:hAnsi="Times New Roman"/>
          <w:sz w:val="20"/>
        </w:rPr>
        <w:t xml:space="preserve">. For the quarter ended June 30, 2023, the increase in employee termination, asset impairment and other expenses was driven by increased restructuring initiatives to adjust our cost structure to align with the demand environment. The fluctuation in employee termination, asset impairment and other charges during the quarter ended September 29, 2023 was primarily driven by a $60 million gain on the sale-leaseback of our Milpitas, California facility. </w:t>
      </w:r>
    </w:p>
    <w:p>
      <w:pPr>
        <w:pStyle w:val="TextBody"/>
        <w:bidi w:val="0"/>
        <w:spacing w:before="240" w:after="0"/>
        <w:jc w:val="left"/>
        <w:rPr>
          <w:rFonts w:ascii="Times New Roman" w:hAnsi="Times New Roman"/>
          <w:sz w:val="20"/>
        </w:rPr>
      </w:pPr>
      <w:r>
        <w:rPr>
          <w:rFonts w:ascii="Times New Roman" w:hAnsi="Times New Roman"/>
          <w:i/>
          <w:sz w:val="20"/>
        </w:rPr>
        <w:t>Business separation costs</w:t>
      </w:r>
      <w:r>
        <w:rPr>
          <w:rFonts w:ascii="Times New Roman" w:hAnsi="Times New Roman"/>
          <w:sz w:val="20"/>
        </w:rPr>
        <w:t xml:space="preserve">. The charges related to business separation costs for the quarters ended September 29, 2023, December 29, 2023, March 29, 2024, June 28, 2024, September 27, 2024, and December 27, 2024, relate to outside service fees to support the separation of Sandisk from WDC. </w:t>
      </w:r>
    </w:p>
    <w:p>
      <w:pPr>
        <w:pStyle w:val="TextBody"/>
        <w:bidi w:val="0"/>
        <w:spacing w:before="240" w:after="0"/>
        <w:jc w:val="left"/>
        <w:rPr>
          <w:rFonts w:ascii="Times New Roman" w:hAnsi="Times New Roman"/>
          <w:sz w:val="20"/>
        </w:rPr>
      </w:pPr>
      <w:r>
        <w:rPr>
          <w:rFonts w:ascii="Times New Roman" w:hAnsi="Times New Roman"/>
          <w:i/>
          <w:sz w:val="20"/>
        </w:rPr>
        <w:t>Gain on business divestiture</w:t>
      </w:r>
      <w:r>
        <w:rPr>
          <w:rFonts w:ascii="Times New Roman" w:hAnsi="Times New Roman"/>
          <w:sz w:val="20"/>
        </w:rPr>
        <w:t xml:space="preserve">. The gain on business divestiture for the quarter ended December 27, 2024 relates to WDCs sale of an 80.1% interest in SanDisk China Limited to JCET Management Co., Ltd. </w:t>
      </w:r>
    </w:p>
    <w:p>
      <w:pPr>
        <w:pStyle w:val="TextBody"/>
        <w:bidi w:val="0"/>
        <w:spacing w:before="240" w:after="0"/>
        <w:jc w:val="left"/>
        <w:rPr>
          <w:rFonts w:ascii="Times New Roman" w:hAnsi="Times New Roman"/>
          <w:sz w:val="20"/>
        </w:rPr>
      </w:pPr>
      <w:r>
        <w:rPr>
          <w:rFonts w:ascii="Times New Roman" w:hAnsi="Times New Roman"/>
          <w:i/>
          <w:sz w:val="20"/>
        </w:rPr>
        <w:t>Goodwill Impairment charges</w:t>
      </w:r>
      <w:r>
        <w:rPr>
          <w:rFonts w:ascii="Times New Roman" w:hAnsi="Times New Roman"/>
          <w:sz w:val="20"/>
        </w:rPr>
        <w:t xml:space="preserve">. For the quarters ended September 30, 2022, and December 30, 2022, we determined that the carrying value of our single reporting unit exceeded its fair value, resulting in the recognition of impairment charges of $522 million and $149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QUARTERLY CONDENSED COMBINED CASH FLOWS </w:t>
      </w:r>
    </w:p>
    <w:p>
      <w:pPr>
        <w:pStyle w:val="TextBody"/>
        <w:bidi w:val="0"/>
        <w:spacing w:before="12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3575" w:type="dxa"/>
        <w:jc w:val="center"/>
        <w:tblInd w:w="0" w:type="dxa"/>
        <w:tblLayout w:type="fixed"/>
        <w:tblCellMar>
          <w:top w:w="0" w:type="dxa"/>
          <w:left w:w="0" w:type="dxa"/>
          <w:bottom w:w="0" w:type="dxa"/>
          <w:right w:w="0" w:type="dxa"/>
        </w:tblCellMar>
      </w:tblPr>
      <w:tblGrid>
        <w:gridCol w:w="650"/>
        <w:gridCol w:w="60"/>
        <w:gridCol w:w="380"/>
        <w:gridCol w:w="1035"/>
        <w:gridCol w:w="60"/>
        <w:gridCol w:w="60"/>
        <w:gridCol w:w="347"/>
        <w:gridCol w:w="1128"/>
        <w:gridCol w:w="155"/>
        <w:gridCol w:w="60"/>
        <w:gridCol w:w="205"/>
        <w:gridCol w:w="670"/>
        <w:gridCol w:w="155"/>
        <w:gridCol w:w="60"/>
        <w:gridCol w:w="251"/>
        <w:gridCol w:w="819"/>
        <w:gridCol w:w="155"/>
        <w:gridCol w:w="60"/>
        <w:gridCol w:w="380"/>
        <w:gridCol w:w="1035"/>
        <w:gridCol w:w="155"/>
        <w:gridCol w:w="60"/>
        <w:gridCol w:w="347"/>
        <w:gridCol w:w="1128"/>
        <w:gridCol w:w="155"/>
        <w:gridCol w:w="60"/>
        <w:gridCol w:w="205"/>
        <w:gridCol w:w="670"/>
        <w:gridCol w:w="155"/>
        <w:gridCol w:w="60"/>
        <w:gridCol w:w="251"/>
        <w:gridCol w:w="819"/>
        <w:gridCol w:w="155"/>
        <w:gridCol w:w="60"/>
        <w:gridCol w:w="332"/>
        <w:gridCol w:w="1083"/>
        <w:gridCol w:w="155"/>
      </w:tblGrid>
      <w:tr>
        <w:trPr/>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1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r>
      <w:tr>
        <w:trPr/>
        <w:tc>
          <w:tcPr>
            <w:tcW w:w="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27,</w:t>
              <w:b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March 29,</w:t>
            </w:r>
            <w:r>
              <w:rPr/>
              <w:br/>
            </w: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29,</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2022</w:t>
            </w:r>
          </w:p>
        </w:tc>
        <w:tc>
          <w:tcPr>
            <w:tcW w:w="155"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provided by (used in) operating activities</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(131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(301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(525</w:t>
            </w:r>
          </w:p>
        </w:tc>
        <w:tc>
          <w:tcPr>
            <w:tcW w:w="155"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sz w:val="17"/>
              </w:rPr>
            </w:pPr>
            <w:r>
              <w:rPr>
                <w:rFonts w:ascii="Times New Roman" w:hAnsi="Times New Roman"/>
                <w:sz w:val="17"/>
              </w:rPr>
              <w:t>Net cash provided by (used in) investing activities</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Net cash provided by (used in) financing activities</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409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535</w:t>
            </w:r>
          </w:p>
        </w:tc>
        <w:tc>
          <w:tcPr>
            <w:tcW w:w="155" w:type="dxa"/>
            <w:tcBorders/>
            <w:shd w:fill="CCEEFF" w:val="clear"/>
            <w:vAlign w:val="bottom"/>
          </w:tcPr>
          <w:p>
            <w:pPr>
              <w:pStyle w:val="TableContents"/>
              <w:bidi w:val="0"/>
              <w:spacing w:before="0" w:after="283"/>
              <w:jc w:val="left"/>
              <w:rPr/>
            </w:pPr>
            <w:r>
              <w:rPr/>
              <w:t> </w:t>
            </w:r>
          </w:p>
        </w:tc>
      </w:tr>
      <w:tr>
        <w:trPr/>
        <w:tc>
          <w:tcPr>
            <w:tcW w:w="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sz w:val="17"/>
              </w:rPr>
            </w:pPr>
            <w:r>
              <w:rPr>
                <w:rFonts w:ascii="Times New Roman" w:hAnsi="Times New Roman"/>
                <w:sz w:val="17"/>
              </w:rPr>
              <w:t>Total cash flows</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413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r>
      <w:tr>
        <w:trPr/>
        <w:tc>
          <w:tcPr>
            <w:tcW w:w="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Financial Condition, 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statements of cash flows for the six months ended December 27, 2024, and December 29,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4"/>
        <w:gridCol w:w="603"/>
        <w:gridCol w:w="391"/>
        <w:gridCol w:w="1038"/>
        <w:gridCol w:w="155"/>
        <w:gridCol w:w="603"/>
        <w:gridCol w:w="332"/>
        <w:gridCol w:w="1121"/>
        <w:gridCol w:w="158"/>
      </w:tblGrid>
      <w:tr>
        <w:trPr/>
        <w:tc>
          <w:tcPr>
            <w:tcW w:w="3354" w:type="dxa"/>
            <w:tcBorders/>
            <w:vAlign w:val="center"/>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8" w:type="dxa"/>
            <w:tcBorders/>
            <w:vAlign w:val="bottom"/>
          </w:tcPr>
          <w:p>
            <w:pPr>
              <w:pStyle w:val="TableContents"/>
              <w:bidi w:val="0"/>
              <w:spacing w:before="0" w:after="283"/>
              <w:jc w:val="left"/>
              <w:rPr/>
            </w:pPr>
            <w:r>
              <w:rPr/>
              <w:t> </w:t>
            </w:r>
          </w:p>
        </w:tc>
      </w:tr>
      <w:tr>
        <w:trPr/>
        <w:tc>
          <w:tcPr>
            <w:tcW w:w="335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640" w:type="dxa"/>
            <w:gridSpan w:val="6"/>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3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60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354"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60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w:t>
            </w:r>
          </w:p>
        </w:tc>
        <w:tc>
          <w:tcPr>
            <w:tcW w:w="1038"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(167</w:t>
            </w:r>
          </w:p>
        </w:tc>
        <w:tc>
          <w:tcPr>
            <w:tcW w:w="158" w:type="dxa"/>
            <w:tcBorders/>
            <w:vAlign w:val="bottom"/>
          </w:tcPr>
          <w:p>
            <w:pPr>
              <w:pStyle w:val="TableContents"/>
              <w:bidi w:val="0"/>
              <w:spacing w:before="0" w:after="283"/>
              <w:jc w:val="left"/>
              <w:rPr/>
            </w:pPr>
            <w:r>
              <w:rPr/>
              <w:t>) </w:t>
            </w:r>
          </w:p>
        </w:tc>
      </w:tr>
      <w:tr>
        <w:trPr/>
        <w:tc>
          <w:tcPr>
            <w:tcW w:w="3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60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113</w:t>
            </w:r>
          </w:p>
        </w:tc>
        <w:tc>
          <w:tcPr>
            <w:tcW w:w="158" w:type="dxa"/>
            <w:tcBorders/>
            <w:shd w:fill="CCEEFF" w:val="clear"/>
            <w:vAlign w:val="bottom"/>
          </w:tcPr>
          <w:p>
            <w:pPr>
              <w:pStyle w:val="TableContents"/>
              <w:bidi w:val="0"/>
              <w:spacing w:before="0" w:after="283"/>
              <w:jc w:val="left"/>
              <w:rPr/>
            </w:pPr>
            <w:r>
              <w:rPr/>
              <w:t> </w:t>
            </w:r>
          </w:p>
        </w:tc>
      </w:tr>
      <w:tr>
        <w:trPr/>
        <w:tc>
          <w:tcPr>
            <w:tcW w:w="3354"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60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344</w:t>
            </w:r>
          </w:p>
        </w:tc>
        <w:tc>
          <w:tcPr>
            <w:tcW w:w="155"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186</w:t>
            </w:r>
          </w:p>
        </w:tc>
        <w:tc>
          <w:tcPr>
            <w:tcW w:w="158" w:type="dxa"/>
            <w:tcBorders/>
            <w:vAlign w:val="bottom"/>
          </w:tcPr>
          <w:p>
            <w:pPr>
              <w:pStyle w:val="TableContents"/>
              <w:bidi w:val="0"/>
              <w:spacing w:before="0" w:after="283"/>
              <w:jc w:val="left"/>
              <w:rPr/>
            </w:pPr>
            <w:r>
              <w:rPr/>
              <w:t> </w:t>
            </w:r>
          </w:p>
        </w:tc>
      </w:tr>
      <w:tr>
        <w:trPr/>
        <w:tc>
          <w:tcPr>
            <w:tcW w:w="3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60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1 </w:t>
            </w:r>
          </w:p>
        </w:tc>
        <w:tc>
          <w:tcPr>
            <w:tcW w:w="158" w:type="dxa"/>
            <w:tcBorders/>
            <w:shd w:fill="CCEEFF" w:val="clear"/>
            <w:vAlign w:val="bottom"/>
          </w:tcPr>
          <w:p>
            <w:pPr>
              <w:pStyle w:val="TableContents"/>
              <w:bidi w:val="0"/>
              <w:spacing w:before="0" w:after="283"/>
              <w:jc w:val="left"/>
              <w:rPr/>
            </w:pPr>
            <w:r>
              <w:rPr/>
              <w:t> </w:t>
            </w:r>
          </w:p>
        </w:tc>
      </w:tr>
      <w:tr>
        <w:trPr/>
        <w:tc>
          <w:tcPr>
            <w:tcW w:w="3354"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0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35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60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w:t>
            </w:r>
          </w:p>
        </w:tc>
        <w:tc>
          <w:tcPr>
            <w:tcW w:w="1038" w:type="dxa"/>
            <w:tcBorders/>
            <w:vAlign w:val="bottom"/>
          </w:tcPr>
          <w:p>
            <w:pPr>
              <w:pStyle w:val="TableContents"/>
              <w:bidi w:val="0"/>
              <w:spacing w:before="0" w:after="283"/>
              <w:jc w:val="right"/>
              <w:rPr/>
            </w:pPr>
            <w:r>
              <w:rPr/>
              <w:t>476</w:t>
            </w:r>
          </w:p>
        </w:tc>
        <w:tc>
          <w:tcPr>
            <w:tcW w:w="155"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133</w:t>
            </w:r>
          </w:p>
        </w:tc>
        <w:tc>
          <w:tcPr>
            <w:tcW w:w="158" w:type="dxa"/>
            <w:tcBorders/>
            <w:vAlign w:val="bottom"/>
          </w:tcPr>
          <w:p>
            <w:pPr>
              <w:pStyle w:val="TableContents"/>
              <w:bidi w:val="0"/>
              <w:spacing w:before="0" w:after="283"/>
              <w:jc w:val="left"/>
              <w:rPr/>
            </w:pPr>
            <w:r>
              <w:rPr/>
              <w:t> </w:t>
            </w:r>
          </w:p>
        </w:tc>
      </w:tr>
      <w:tr>
        <w:trPr/>
        <w:tc>
          <w:tcPr>
            <w:tcW w:w="3354"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0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noted previously, we have been scaling back on capital expenditures, consolidating production lines and reducing bit growth to align with market demand. We have access to our $1,500 million revolving credit facility and continue to be cautious in our capital investment and expect our cash capital expenditures in 2025 to be higher than in 2024 but remain below 2023 expenditures.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cash, and cash equivalents, as discussed in OverviewFinancing Activities above, will be sufficient to meet our working capital needs for at least the next twelve months and for the foreseeable future thereafter, as we navigate the current market downturn before returning to profitable operations and positive cash flows when the market normalizes. We believe we can also access the various capital markets to further supplement our liquidity position if necessary. </w:t>
      </w:r>
    </w:p>
    <w:p>
      <w:pPr>
        <w:pStyle w:val="TextBody"/>
        <w:bidi w:val="0"/>
        <w:spacing w:before="240" w:after="0"/>
        <w:jc w:val="left"/>
        <w:rPr>
          <w:rFonts w:ascii="Times New Roman" w:hAnsi="Times New Roman"/>
          <w:sz w:val="20"/>
        </w:rPr>
      </w:pPr>
      <w:r>
        <w:rPr>
          <w:rFonts w:ascii="Times New Roman" w:hAnsi="Times New Roman"/>
          <w:sz w:val="20"/>
        </w:rPr>
        <w:t xml:space="preserve">A total of $692 million and $321 million, of our cash and cash equivalents were held outside of the U.S. as of December 27, 2024, and June 28, 2024, respectively. There are no material tax consequences that were not previously accrued for on the repatriation of this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primarily consists of net income or loss, adjusted for non-cash charges, plus or minus changes in operating assets and liabilities. Net cash used as a result of changes in operating assets and liabilities was $487 million in the six months ended December 27, 2024, as compared to $449 million net cash provided in the six months ended December 29, 2023, reflecting an increase in the volume of our business,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Changes in our operating assets and liabilities are largely affected by our working capital requirements, which are dependent on the volume of our business and the effective management of our cash conversion cycle as well as timing of payments for taxes. Our cash conversion cycle measures how quickly we can convert our products into cash through sales. The cash conversion cycles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7"/>
        <w:gridCol w:w="599"/>
        <w:gridCol w:w="192"/>
        <w:gridCol w:w="1230"/>
        <w:gridCol w:w="155"/>
        <w:gridCol w:w="599"/>
        <w:gridCol w:w="214"/>
        <w:gridCol w:w="1210"/>
        <w:gridCol w:w="159"/>
      </w:tblGrid>
      <w:tr>
        <w:trPr/>
        <w:tc>
          <w:tcPr>
            <w:tcW w:w="3397"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9" w:type="dxa"/>
            <w:tcBorders/>
            <w:vAlign w:val="bottom"/>
          </w:tcPr>
          <w:p>
            <w:pPr>
              <w:pStyle w:val="TableContents"/>
              <w:bidi w:val="0"/>
              <w:spacing w:before="0" w:after="283"/>
              <w:jc w:val="left"/>
              <w:rPr/>
            </w:pPr>
            <w:r>
              <w:rPr/>
              <w:t> </w:t>
            </w:r>
          </w:p>
        </w:tc>
      </w:tr>
      <w:tr>
        <w:trPr/>
        <w:tc>
          <w:tcPr>
            <w:tcW w:w="3397"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3600" w:type="dxa"/>
            <w:gridSpan w:val="6"/>
            <w:tcBorders/>
            <w:vAlign w:val="bottom"/>
          </w:tcPr>
          <w:p>
            <w:pPr>
              <w:pStyle w:val="TableContents"/>
              <w:bidi w:val="0"/>
              <w:spacing w:before="0" w:after="283"/>
              <w:jc w:val="center"/>
              <w:rPr>
                <w:i/>
              </w:rPr>
            </w:pPr>
            <w:r>
              <w:rPr>
                <w:i/>
              </w:rPr>
              <w:t>(in days)</w:t>
            </w:r>
          </w:p>
        </w:tc>
        <w:tc>
          <w:tcPr>
            <w:tcW w:w="159"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Days sales outstanding</w:t>
            </w:r>
          </w:p>
        </w:tc>
        <w:tc>
          <w:tcPr>
            <w:tcW w:w="5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Days in inventory</w:t>
            </w:r>
          </w:p>
        </w:tc>
        <w:tc>
          <w:tcPr>
            <w:tcW w:w="5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156</w:t>
            </w:r>
          </w:p>
        </w:tc>
        <w:tc>
          <w:tcPr>
            <w:tcW w:w="15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98</w:t>
            </w:r>
          </w:p>
        </w:tc>
        <w:tc>
          <w:tcPr>
            <w:tcW w:w="159"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Days payables outstanding</w:t>
            </w:r>
          </w:p>
        </w:tc>
        <w:tc>
          <w:tcPr>
            <w:tcW w:w="59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(39</w:t>
            </w:r>
          </w:p>
        </w:tc>
        <w:tc>
          <w:tcPr>
            <w:tcW w:w="159" w:type="dxa"/>
            <w:tcBorders/>
            <w:shd w:fill="CCEEFF" w:val="clear"/>
            <w:vAlign w:val="bottom"/>
          </w:tcPr>
          <w:p>
            <w:pPr>
              <w:pStyle w:val="TableContents"/>
              <w:bidi w:val="0"/>
              <w:spacing w:before="0" w:after="283"/>
              <w:jc w:val="left"/>
              <w:rPr/>
            </w:pPr>
            <w:r>
              <w:rPr/>
              <w:t>) </w:t>
            </w:r>
          </w:p>
        </w:tc>
      </w:tr>
      <w:tr>
        <w:trPr/>
        <w:tc>
          <w:tcPr>
            <w:tcW w:w="3397"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Cash Conversion cycle</w:t>
            </w:r>
          </w:p>
        </w:tc>
        <w:tc>
          <w:tcPr>
            <w:tcW w:w="59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151</w:t>
            </w:r>
          </w:p>
        </w:tc>
        <w:tc>
          <w:tcPr>
            <w:tcW w:w="15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96</w:t>
            </w:r>
          </w:p>
        </w:tc>
        <w:tc>
          <w:tcPr>
            <w:tcW w:w="159" w:type="dxa"/>
            <w:tcBorders/>
            <w:vAlign w:val="bottom"/>
          </w:tcPr>
          <w:p>
            <w:pPr>
              <w:pStyle w:val="TableContents"/>
              <w:bidi w:val="0"/>
              <w:spacing w:before="0" w:after="283"/>
              <w:jc w:val="left"/>
              <w:rPr/>
            </w:pPr>
            <w:r>
              <w:rPr/>
              <w:t> </w:t>
            </w:r>
          </w:p>
        </w:tc>
      </w:tr>
      <w:tr>
        <w:trPr/>
        <w:tc>
          <w:tcPr>
            <w:tcW w:w="3397"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days sales outstanding, or DSO, are generally due to the timing of shipments. Changes in days in inventory, or DIO, are generally related to the timing of inventory builds. Changes in days payables outstanding, or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December 27, 2024, DSO increased by seven days over the three months ended December 29, 2023, reflecting lower accounts receivable factoring and the timing of shipments and customer collections. During the three months ended December 27, 2024, DIO increased by 58 days over the three months ended December 29, 2023, primarily reflecting lower consumption of inventory in the current period. DPO increased by 10 days over the comparable period in the prior year primarily due to routine variations in the timing of purchases and payments during the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in the six months ended December 27, 2024 primarily consisted of $191 million in proceeds related to the sale of an 80% equity interest in SDSS, and $92 million of net notes receivable and distribution proceeds from activity related to Flash Ventures, partially offset by $115 million in purchases of property, plant and equipment. Net cash provided by investing activities in the six months ended December 29, 2023 primarily consisted of $134 million proceeds from the sale of property, plant and equipment, which includes the proceeds from the sale-leaseback of our Milpitas, California facility and $79 million in net proceeds from activity related to Flash Ventures, partially offset by $99 million in purchases of property, plant and equipment.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in the six months ended December 27, 2024 primarily consisted of $550 million in proceeds from notes due to WDC and $101 million in proceeds from principal repayments on notes due from WDC, partially offset by $307 million in repayments of notes due to WDC and transferred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WDC. Net cash provided by financing activities in the six months ended December 29, 2023 primarily consisted of $274 million transferred from WDC, partially offset by $14 million in net repayments on notes due to WDC.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statements of cash flows as of 2024, 2023 and 2022: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06"/>
        <w:gridCol w:w="328"/>
        <w:gridCol w:w="140"/>
        <w:gridCol w:w="495"/>
        <w:gridCol w:w="167"/>
        <w:gridCol w:w="328"/>
        <w:gridCol w:w="140"/>
        <w:gridCol w:w="495"/>
        <w:gridCol w:w="167"/>
        <w:gridCol w:w="328"/>
        <w:gridCol w:w="140"/>
        <w:gridCol w:w="566"/>
        <w:gridCol w:w="172"/>
      </w:tblGrid>
      <w:tr>
        <w:trPr/>
        <w:tc>
          <w:tcPr>
            <w:tcW w:w="5106"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2"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966" w:type="dxa"/>
            <w:gridSpan w:val="10"/>
            <w:tcBorders/>
            <w:vAlign w:val="bottom"/>
          </w:tcPr>
          <w:p>
            <w:pPr>
              <w:pStyle w:val="TableContents"/>
              <w:bidi w:val="0"/>
              <w:spacing w:before="0" w:after="283"/>
              <w:jc w:val="center"/>
              <w:rPr>
                <w:i/>
              </w:rPr>
            </w:pPr>
            <w:r>
              <w:rPr>
                <w:i/>
              </w:rPr>
              <w:t>(in millions)</w:t>
            </w:r>
          </w:p>
        </w:tc>
        <w:tc>
          <w:tcPr>
            <w:tcW w:w="172"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95" w:type="dxa"/>
            <w:tcBorders/>
            <w:vAlign w:val="bottom"/>
          </w:tcPr>
          <w:p>
            <w:pPr>
              <w:pStyle w:val="TableContents"/>
              <w:bidi w:val="0"/>
              <w:spacing w:before="0" w:after="283"/>
              <w:jc w:val="right"/>
              <w:rPr/>
            </w:pPr>
            <w:r>
              <w:rPr/>
              <w:t>(309</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95" w:type="dxa"/>
            <w:tcBorders/>
            <w:vAlign w:val="bottom"/>
          </w:tcPr>
          <w:p>
            <w:pPr>
              <w:pStyle w:val="TableContents"/>
              <w:bidi w:val="0"/>
              <w:spacing w:before="0" w:after="283"/>
              <w:jc w:val="right"/>
              <w:rPr/>
            </w:pPr>
            <w:r>
              <w:rPr/>
              <w:t>(713</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1,151</w:t>
            </w:r>
          </w:p>
        </w:tc>
        <w:tc>
          <w:tcPr>
            <w:tcW w:w="172"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right"/>
              <w:rPr/>
            </w:pPr>
            <w:r>
              <w:rPr/>
              <w:t>210</w:t>
            </w:r>
          </w:p>
        </w:tc>
        <w:tc>
          <w:tcPr>
            <w:tcW w:w="16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right"/>
              <w:rPr/>
            </w:pPr>
            <w:r>
              <w:rPr/>
              <w:t>(189</w:t>
            </w:r>
          </w:p>
        </w:tc>
        <w:tc>
          <w:tcPr>
            <w:tcW w:w="16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(472</w:t>
            </w:r>
          </w:p>
        </w:tc>
        <w:tc>
          <w:tcPr>
            <w:tcW w:w="172"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right"/>
              <w:rPr/>
            </w:pPr>
            <w:r>
              <w:rPr/>
              <w:t>136</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right"/>
              <w:rPr/>
            </w:pPr>
            <w:r>
              <w:rPr/>
              <w:t>860</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(650</w:t>
            </w:r>
          </w:p>
        </w:tc>
        <w:tc>
          <w:tcPr>
            <w:tcW w:w="172"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right"/>
              <w:rPr/>
            </w:pPr>
            <w:r>
              <w:rPr/>
              <w:t>(1</w:t>
            </w:r>
          </w:p>
        </w:tc>
        <w:tc>
          <w:tcPr>
            <w:tcW w:w="16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right"/>
              <w:rPr/>
            </w:pPr>
            <w:r>
              <w:rPr/>
              <w:t>(1</w:t>
            </w:r>
          </w:p>
        </w:tc>
        <w:tc>
          <w:tcPr>
            <w:tcW w:w="16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w:t>
            </w:r>
          </w:p>
        </w:tc>
        <w:tc>
          <w:tcPr>
            <w:tcW w:w="172" w:type="dxa"/>
            <w:tcBorders/>
            <w:shd w:fill="CCEEFF" w:val="clear"/>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95" w:type="dxa"/>
            <w:tcBorders/>
            <w:vAlign w:val="bottom"/>
          </w:tcPr>
          <w:p>
            <w:pPr>
              <w:pStyle w:val="TableContents"/>
              <w:bidi w:val="0"/>
              <w:spacing w:before="0" w:after="283"/>
              <w:jc w:val="right"/>
              <w:rPr/>
            </w:pPr>
            <w:r>
              <w:rPr/>
              <w:t>36</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95" w:type="dxa"/>
            <w:tcBorders/>
            <w:vAlign w:val="bottom"/>
          </w:tcPr>
          <w:p>
            <w:pPr>
              <w:pStyle w:val="TableContents"/>
              <w:bidi w:val="0"/>
              <w:spacing w:before="0" w:after="283"/>
              <w:jc w:val="right"/>
              <w:rPr/>
            </w:pPr>
            <w:r>
              <w:rPr/>
              <w:t>(43</w:t>
            </w:r>
          </w:p>
        </w:tc>
        <w:tc>
          <w:tcPr>
            <w:tcW w:w="16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27</w:t>
            </w:r>
          </w:p>
        </w:tc>
        <w:tc>
          <w:tcPr>
            <w:tcW w:w="172"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noted previously, we have been scaling back on capital expenditures, consolidating production lines and reducing bit growth to align with market demand. We reduced our portion of the capital expenditures by Flash Ventures for its operations to approximately $773 million in 2024 from approximately $1.4 billion in 2023. After consideration of the Flash Ventures lease financing of its capital expenditures and net operating cash flow, we reduced our net cash used for our purchases of property, plant and equipment and net activity in notes receivable relating to Flash Ventures $210 million in 2024, as compared to cash used of $205 million in 2023. </w:t>
      </w:r>
    </w:p>
    <w:p>
      <w:pPr>
        <w:pStyle w:val="TextBody"/>
        <w:bidi w:val="0"/>
        <w:spacing w:before="240" w:after="0"/>
        <w:jc w:val="left"/>
        <w:rPr>
          <w:rFonts w:ascii="Times New Roman" w:hAnsi="Times New Roman"/>
          <w:sz w:val="20"/>
        </w:rPr>
      </w:pPr>
      <w:r>
        <w:rPr>
          <w:rFonts w:ascii="Times New Roman" w:hAnsi="Times New Roman"/>
          <w:sz w:val="20"/>
        </w:rPr>
        <w:t xml:space="preserve">A total of $321 million, $286 million and $332 million of our cash and cash equivalents were held outside of the U.S. as of June 28, 2024, June 30, 2023, and July 1, 2022, respectively. There are no material tax consequences that were not previously accrued for on the repatriation of this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or used in operating activities primarily consists of net income or loss, adjusted for non-cash charges, plus or minus changes in operating assets and liabilities. Net cash used as a result of changes in operating assets and liabilities was $86 million for 2024, as compared to $197 million net cash provided in 2023, which reflects the reduction in the volume of our business. Comparably, the net cash provided by changes in operating assets and liabilities was $197 million for 2023, compared to $600 million net cash used in 2022, which reflects the increase in the volume of our business.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At the end of the respective fourth quarters, the cash conversion cycles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765"/>
        <w:gridCol w:w="277"/>
        <w:gridCol w:w="68"/>
        <w:gridCol w:w="434"/>
        <w:gridCol w:w="155"/>
        <w:gridCol w:w="277"/>
        <w:gridCol w:w="68"/>
        <w:gridCol w:w="434"/>
        <w:gridCol w:w="155"/>
        <w:gridCol w:w="277"/>
        <w:gridCol w:w="68"/>
        <w:gridCol w:w="434"/>
        <w:gridCol w:w="160"/>
      </w:tblGrid>
      <w:tr>
        <w:trPr/>
        <w:tc>
          <w:tcPr>
            <w:tcW w:w="576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6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576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370" w:type="dxa"/>
            <w:gridSpan w:val="10"/>
            <w:tcBorders/>
            <w:vAlign w:val="bottom"/>
          </w:tcPr>
          <w:p>
            <w:pPr>
              <w:pStyle w:val="TableContents"/>
              <w:bidi w:val="0"/>
              <w:spacing w:before="0" w:after="283"/>
              <w:jc w:val="center"/>
              <w:rPr>
                <w:i/>
              </w:rPr>
            </w:pPr>
            <w:r>
              <w:rPr>
                <w:i/>
              </w:rPr>
              <w:t>(in days)</w:t>
            </w:r>
          </w:p>
        </w:tc>
        <w:tc>
          <w:tcPr>
            <w:tcW w:w="160" w:type="dxa"/>
            <w:tcBorders/>
            <w:vAlign w:val="bottom"/>
          </w:tcPr>
          <w:p>
            <w:pPr>
              <w:pStyle w:val="TableContents"/>
              <w:bidi w:val="0"/>
              <w:spacing w:before="0" w:after="283"/>
              <w:jc w:val="left"/>
              <w:rPr/>
            </w:pPr>
            <w:r>
              <w:rPr/>
              <w:t> </w:t>
            </w:r>
          </w:p>
        </w:tc>
      </w:tr>
      <w:tr>
        <w:trPr/>
        <w:tc>
          <w:tcPr>
            <w:tcW w:w="5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Days sales outstanding</w:t>
            </w:r>
          </w:p>
        </w:tc>
        <w:tc>
          <w:tcPr>
            <w:tcW w:w="27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49</w:t>
            </w:r>
          </w:p>
        </w:tc>
        <w:tc>
          <w:tcPr>
            <w:tcW w:w="160" w:type="dxa"/>
            <w:tcBorders/>
            <w:shd w:fill="CCEEFF" w:val="clear"/>
            <w:vAlign w:val="bottom"/>
          </w:tcPr>
          <w:p>
            <w:pPr>
              <w:pStyle w:val="TableContents"/>
              <w:bidi w:val="0"/>
              <w:spacing w:before="0" w:after="283"/>
              <w:jc w:val="left"/>
              <w:rPr/>
            </w:pPr>
            <w:r>
              <w:rPr/>
              <w:t> </w:t>
            </w:r>
          </w:p>
        </w:tc>
      </w:tr>
      <w:tr>
        <w:trPr/>
        <w:tc>
          <w:tcPr>
            <w:tcW w:w="5765" w:type="dxa"/>
            <w:tcBorders/>
          </w:tcPr>
          <w:p>
            <w:pPr>
              <w:pStyle w:val="TableContents"/>
              <w:bidi w:val="0"/>
              <w:spacing w:before="0" w:after="0"/>
              <w:jc w:val="left"/>
              <w:rPr>
                <w:rFonts w:ascii="Times New Roman" w:hAnsi="Times New Roman"/>
                <w:sz w:val="20"/>
              </w:rPr>
            </w:pPr>
            <w:r>
              <w:rPr>
                <w:rFonts w:ascii="Times New Roman" w:hAnsi="Times New Roman"/>
                <w:sz w:val="20"/>
              </w:rPr>
              <w:t>Days in inventory</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117</w:t>
            </w:r>
          </w:p>
        </w:tc>
        <w:tc>
          <w:tcPr>
            <w:tcW w:w="160" w:type="dxa"/>
            <w:tcBorders/>
            <w:vAlign w:val="bottom"/>
          </w:tcPr>
          <w:p>
            <w:pPr>
              <w:pStyle w:val="TableContents"/>
              <w:bidi w:val="0"/>
              <w:spacing w:before="0" w:after="283"/>
              <w:jc w:val="left"/>
              <w:rPr/>
            </w:pPr>
            <w:r>
              <w:rPr/>
              <w:t> </w:t>
            </w:r>
          </w:p>
        </w:tc>
      </w:tr>
      <w:tr>
        <w:trPr/>
        <w:tc>
          <w:tcPr>
            <w:tcW w:w="5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Days payables outstanding</w:t>
            </w:r>
          </w:p>
        </w:tc>
        <w:tc>
          <w:tcPr>
            <w:tcW w:w="27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right"/>
              <w:rPr/>
            </w:pPr>
            <w:r>
              <w:rPr/>
              <w:t>(46</w:t>
            </w:r>
          </w:p>
        </w:tc>
        <w:tc>
          <w:tcPr>
            <w:tcW w:w="160" w:type="dxa"/>
            <w:tcBorders/>
            <w:shd w:fill="CCEEFF" w:val="clear"/>
            <w:vAlign w:val="bottom"/>
          </w:tcPr>
          <w:p>
            <w:pPr>
              <w:pStyle w:val="TableContents"/>
              <w:bidi w:val="0"/>
              <w:spacing w:before="0" w:after="283"/>
              <w:jc w:val="left"/>
              <w:rPr/>
            </w:pPr>
            <w:r>
              <w:rPr/>
              <w:t>) </w:t>
            </w:r>
          </w:p>
        </w:tc>
      </w:tr>
      <w:tr>
        <w:trPr/>
        <w:tc>
          <w:tcPr>
            <w:tcW w:w="576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65" w:type="dxa"/>
            <w:tcBorders/>
          </w:tcPr>
          <w:p>
            <w:pPr>
              <w:pStyle w:val="TableContents"/>
              <w:bidi w:val="0"/>
              <w:spacing w:before="0" w:after="0"/>
              <w:jc w:val="left"/>
              <w:rPr>
                <w:rFonts w:ascii="Times New Roman" w:hAnsi="Times New Roman"/>
                <w:sz w:val="20"/>
              </w:rPr>
            </w:pPr>
            <w:r>
              <w:rPr>
                <w:rFonts w:ascii="Times New Roman" w:hAnsi="Times New Roman"/>
                <w:sz w:val="20"/>
              </w:rPr>
              <w:t>Cash conversion cycle</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right"/>
              <w:rPr/>
            </w:pPr>
            <w:r>
              <w:rPr/>
              <w:t>120</w:t>
            </w:r>
          </w:p>
        </w:tc>
        <w:tc>
          <w:tcPr>
            <w:tcW w:w="160" w:type="dxa"/>
            <w:tcBorders/>
            <w:vAlign w:val="bottom"/>
          </w:tcPr>
          <w:p>
            <w:pPr>
              <w:pStyle w:val="TableContents"/>
              <w:bidi w:val="0"/>
              <w:spacing w:before="0" w:after="283"/>
              <w:jc w:val="left"/>
              <w:rPr/>
            </w:pPr>
            <w:r>
              <w:rPr/>
              <w:t> </w:t>
            </w:r>
          </w:p>
        </w:tc>
      </w:tr>
      <w:tr>
        <w:trPr/>
        <w:tc>
          <w:tcPr>
            <w:tcW w:w="576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4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4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43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days sales outstanding, or DSO, are generally due to the timing of shipments. Changes in days in inventory, or DIO, are generally related to the timing of inventory builds. Changes in days payables outstanding, or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2024, DSO increased by 21 days over 2023, reflecting lower accounts receivable factoring and the timing of shipments and customer collections. In 2024, DIO decreased by 31 days over 2023, primarily reflecting an increase in products shipped. In 2024, DPO decreased by 2 days over 2023, primarily due to reductions in production volume and capital expenditures as well as routine variations in the timing of purchases and payments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In 2023, DSO decreased by 14 days over 2022, reflecting the increase in accounts receivable factoring. In 2023, DIO increased by 17 days over 2022, primarily reflecting a decline in products shipped in light of the market environment. In 2023, DPO decreased by 9 days over 2022, primarily due to reductions in production volume and capital expenditures as well as routine variations in the timing of purchases and payments during the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in 2024 primarily consisted of $239 million of net notes receivable proceeds from (issuance to) Flash Ventures and $137 million of proceeds from the sale of property, plant and equipment, partially offset by $166 million in purchases of property, plant and equipment. Net cash used in investing activities in 2023 primarily consisted of $219 million in purchases of property, plant and equipment, partially offset by a $14 million net decrease in notes receivable issuance to Flash Ventures and $16 million in net proceeds from the sale of strategic investments and other. Net cash used in investing activities in 2022 primarily consisted of $410 million in purchases of property, plant and equipment, and a $91 million net increase in notes receivable issuances to Flash Ventures, offset by $25 million in proceeds from the disposition of business, $3 million in net proceeds from the sale of strategic investments and other, and $1 million in proceeds from the sale of property, plant and equipment.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in 2024 primarily consisted of $394 million transferred from Parent and $14 million in proceeds from notes due from Parent, offset by $170 million in origination of notes due from Parent and $102 million in net repayments on notes due to Parent.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in financing activities in 2023 primarily consisted of $676 million transferred from Parent and $216 million in proceeds from notes due from Parent, offset by $32 million in net repayments on notes due to Parent.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in 2022 primarily consisted of $933 million transferred to Parent, offset by $307 million in proceeds from notes due to Parent and $199 million in net proceeds from notes due from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commitments related to Flash Ventures incurred in the normal course of business and certain indemnification provisions (see Short- and Long-term LiquidityPurchase Obligations and Other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Combined Financial Statements and Combined Financial Statements. Additionally, with the exception of Flash Ventures, joint venture with Unisplendour Corporation Limited and Unissoft (Wuxi) Group Co. Ltd., and the SDSS Venture, we do not have an interest in, or relationships with, any variable interest entities. For additional information regarding our off-balance sheet arrangements, see Note 9, Related Parties and Related Commitments and Contingencies, of the Notes to the Condensed Combined Financial Statements and Notes to the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Short-and-Long-term Liquidity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Material Cash Requirements as of December 27,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our known material cash requirements, including those for capital expenditures, as of December 27,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0"/>
        <w:gridCol w:w="204"/>
        <w:gridCol w:w="140"/>
        <w:gridCol w:w="596"/>
        <w:gridCol w:w="60"/>
        <w:gridCol w:w="204"/>
        <w:gridCol w:w="228"/>
        <w:gridCol w:w="971"/>
        <w:gridCol w:w="60"/>
        <w:gridCol w:w="204"/>
        <w:gridCol w:w="140"/>
        <w:gridCol w:w="596"/>
        <w:gridCol w:w="60"/>
        <w:gridCol w:w="204"/>
        <w:gridCol w:w="140"/>
        <w:gridCol w:w="596"/>
        <w:gridCol w:w="60"/>
        <w:gridCol w:w="204"/>
        <w:gridCol w:w="175"/>
        <w:gridCol w:w="703"/>
        <w:gridCol w:w="70"/>
      </w:tblGrid>
      <w:tr>
        <w:trPr/>
        <w:tc>
          <w:tcPr>
            <w:tcW w:w="459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59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b/>
              </w:rPr>
              <w:t>Remaining</w:t>
            </w:r>
            <w:r>
              <w:rPr/>
              <w:br/>
            </w:r>
            <w:r>
              <w:rPr>
                <w:b/>
              </w:rPr>
              <w:t>Six</w:t>
            </w:r>
            <w:r>
              <w:rPr/>
              <w:br/>
            </w:r>
            <w:r>
              <w:rPr>
                <w:b/>
              </w:rPr>
              <w:t>Months of</w:t>
            </w:r>
            <w:r>
              <w:rPr/>
              <w:br/>
            </w:r>
            <w:r>
              <w:rPr>
                <w:b/>
              </w:rPr>
              <w:t>2025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6" w:type="dxa"/>
            <w:gridSpan w:val="2"/>
            <w:tcBorders>
              <w:bottom w:val="single" w:sz="8" w:space="0" w:color="000000"/>
            </w:tcBorders>
            <w:tcMar>
              <w:bottom w:w="28" w:type="dxa"/>
            </w:tcMar>
            <w:vAlign w:val="bottom"/>
          </w:tcPr>
          <w:p>
            <w:pPr>
              <w:pStyle w:val="TableContents"/>
              <w:bidi w:val="0"/>
              <w:spacing w:before="0" w:after="283"/>
              <w:jc w:val="center"/>
              <w:rPr/>
            </w:pPr>
            <w:r>
              <w:rPr>
                <w:b/>
              </w:rPr>
              <w:t>2-3</w:t>
              <w:br/>
              <w:t>Years</w:t>
            </w:r>
            <w:r>
              <w:rPr/>
              <w:br/>
            </w:r>
            <w:r>
              <w:rPr>
                <w:b/>
              </w:rPr>
              <w:t>(2026-</w:t>
              <w:br/>
              <w:t>2027)</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6" w:type="dxa"/>
            <w:gridSpan w:val="2"/>
            <w:tcBorders>
              <w:bottom w:val="single" w:sz="8" w:space="0" w:color="000000"/>
            </w:tcBorders>
            <w:tcMar>
              <w:bottom w:w="28" w:type="dxa"/>
            </w:tcMar>
            <w:vAlign w:val="bottom"/>
          </w:tcPr>
          <w:p>
            <w:pPr>
              <w:pStyle w:val="TableContents"/>
              <w:bidi w:val="0"/>
              <w:spacing w:before="0" w:after="283"/>
              <w:jc w:val="center"/>
              <w:rPr/>
            </w:pPr>
            <w:r>
              <w:rPr>
                <w:b/>
              </w:rPr>
              <w:t>4-5</w:t>
              <w:br/>
              <w:t>Years</w:t>
            </w:r>
            <w:r>
              <w:rPr/>
              <w:br/>
            </w:r>
            <w:r>
              <w:rPr>
                <w:b/>
              </w:rPr>
              <w:t>(2028-</w:t>
              <w:br/>
              <w:t>2029)</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More</w:t>
              <w:br/>
              <w:t>than</w:t>
            </w:r>
            <w:r>
              <w:rPr/>
              <w:br/>
            </w:r>
            <w:r>
              <w:rPr>
                <w:b/>
              </w:rPr>
              <w:t>5 Years</w:t>
            </w:r>
            <w:r>
              <w:rPr/>
              <w:br/>
            </w:r>
            <w:r>
              <w:rPr>
                <w:b/>
              </w:rPr>
              <w:t>(Beyond</w:t>
            </w:r>
            <w:r>
              <w:rPr/>
              <w:br/>
            </w:r>
            <w:r>
              <w:rPr>
                <w:b/>
              </w:rPr>
              <w:t>2029)</w:t>
            </w:r>
          </w:p>
        </w:tc>
        <w:tc>
          <w:tcPr>
            <w:tcW w:w="70" w:type="dxa"/>
            <w:tcBorders/>
            <w:vAlign w:val="bottom"/>
          </w:tcPr>
          <w:p>
            <w:pPr>
              <w:pStyle w:val="TableContents"/>
              <w:bidi w:val="0"/>
              <w:spacing w:before="0" w:after="283"/>
              <w:jc w:val="left"/>
              <w:rPr/>
            </w:pPr>
            <w:r>
              <w:rPr/>
              <w:t> </w:t>
            </w:r>
          </w:p>
        </w:tc>
      </w:tr>
      <w:tr>
        <w:trPr/>
        <w:tc>
          <w:tcPr>
            <w:tcW w:w="459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341" w:type="dxa"/>
            <w:gridSpan w:val="18"/>
            <w:tcBorders/>
            <w:vAlign w:val="bottom"/>
          </w:tcPr>
          <w:p>
            <w:pPr>
              <w:pStyle w:val="TableContents"/>
              <w:bidi w:val="0"/>
              <w:spacing w:before="0" w:after="283"/>
              <w:jc w:val="center"/>
              <w:rPr>
                <w:i/>
              </w:rPr>
            </w:pPr>
            <w:r>
              <w:rPr>
                <w:i/>
              </w:rPr>
              <w:t>(in millions)</w:t>
            </w:r>
          </w:p>
        </w:tc>
        <w:tc>
          <w:tcPr>
            <w:tcW w:w="70" w:type="dxa"/>
            <w:tcBorders/>
            <w:vAlign w:val="bottom"/>
          </w:tcPr>
          <w:p>
            <w:pPr>
              <w:pStyle w:val="TableContents"/>
              <w:bidi w:val="0"/>
              <w:spacing w:before="0" w:after="283"/>
              <w:jc w:val="left"/>
              <w:rPr/>
            </w:pPr>
            <w:r>
              <w:rPr/>
              <w:t> </w:t>
            </w:r>
          </w:p>
        </w:tc>
      </w:tr>
      <w:tr>
        <w:trPr/>
        <w:tc>
          <w:tcPr>
            <w:tcW w:w="4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Flash Ventures related commitments(1)</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4,442</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71" w:type="dxa"/>
            <w:tcBorders/>
            <w:shd w:fill="CCEEFF" w:val="clear"/>
            <w:vAlign w:val="bottom"/>
          </w:tcPr>
          <w:p>
            <w:pPr>
              <w:pStyle w:val="TableContents"/>
              <w:bidi w:val="0"/>
              <w:spacing w:before="0" w:after="283"/>
              <w:jc w:val="right"/>
              <w:rPr/>
            </w:pPr>
            <w:r>
              <w:rPr/>
              <w:t>1,318</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2,196</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715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213</w:t>
            </w:r>
          </w:p>
        </w:tc>
        <w:tc>
          <w:tcPr>
            <w:tcW w:w="70" w:type="dxa"/>
            <w:tcBorders/>
            <w:shd w:fill="CCEEFF" w:val="clear"/>
            <w:vAlign w:val="bottom"/>
          </w:tcPr>
          <w:p>
            <w:pPr>
              <w:pStyle w:val="TableContents"/>
              <w:bidi w:val="0"/>
              <w:spacing w:before="0" w:after="283"/>
              <w:jc w:val="left"/>
              <w:rPr/>
            </w:pPr>
            <w:r>
              <w:rPr/>
              <w:t> </w:t>
            </w:r>
          </w:p>
        </w:tc>
      </w:tr>
      <w:tr>
        <w:trPr/>
        <w:tc>
          <w:tcPr>
            <w:tcW w:w="45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310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198</w:t>
            </w:r>
          </w:p>
        </w:tc>
        <w:tc>
          <w:tcPr>
            <w:tcW w:w="70" w:type="dxa"/>
            <w:tcBorders/>
            <w:vAlign w:val="bottom"/>
          </w:tcPr>
          <w:p>
            <w:pPr>
              <w:pStyle w:val="TableContents"/>
              <w:bidi w:val="0"/>
              <w:spacing w:before="0" w:after="283"/>
              <w:jc w:val="left"/>
              <w:rPr/>
            </w:pPr>
            <w:r>
              <w:rPr/>
              <w:t> </w:t>
            </w:r>
          </w:p>
        </w:tc>
      </w:tr>
      <w:tr>
        <w:trPr/>
        <w:tc>
          <w:tcPr>
            <w:tcW w:w="4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obligations and other commitments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2,908</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1,082</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660</w:t>
            </w:r>
          </w:p>
        </w:tc>
        <w:tc>
          <w:tcPr>
            <w:tcW w:w="70" w:type="dxa"/>
            <w:tcBorders/>
            <w:shd w:fill="CCEEFF" w:val="clear"/>
            <w:vAlign w:val="bottom"/>
          </w:tcPr>
          <w:p>
            <w:pPr>
              <w:pStyle w:val="TableContents"/>
              <w:bidi w:val="0"/>
              <w:spacing w:before="0" w:after="283"/>
              <w:jc w:val="left"/>
              <w:rPr/>
            </w:pPr>
            <w:r>
              <w:rPr/>
              <w:t> </w:t>
            </w:r>
          </w:p>
        </w:tc>
      </w:tr>
      <w:tr>
        <w:trPr/>
        <w:tc>
          <w:tcPr>
            <w:tcW w:w="459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459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7,660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971" w:type="dxa"/>
            <w:tcBorders/>
            <w:vAlign w:val="bottom"/>
          </w:tcPr>
          <w:p>
            <w:pPr>
              <w:pStyle w:val="TableContents"/>
              <w:bidi w:val="0"/>
              <w:spacing w:before="0" w:after="283"/>
              <w:jc w:val="right"/>
              <w:rPr/>
            </w:pPr>
            <w:r>
              <w:rPr/>
              <w:t>1,358</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3,336</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1,895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1,071</w:t>
            </w:r>
          </w:p>
        </w:tc>
        <w:tc>
          <w:tcPr>
            <w:tcW w:w="70" w:type="dxa"/>
            <w:tcBorders/>
            <w:vAlign w:val="bottom"/>
          </w:tcPr>
          <w:p>
            <w:pPr>
              <w:pStyle w:val="TableContents"/>
              <w:bidi w:val="0"/>
              <w:spacing w:before="0" w:after="283"/>
              <w:jc w:val="left"/>
              <w:rPr/>
            </w:pPr>
            <w:r>
              <w:rPr/>
              <w:t> </w:t>
            </w:r>
          </w:p>
        </w:tc>
      </w:tr>
      <w:tr>
        <w:trPr/>
        <w:tc>
          <w:tcPr>
            <w:tcW w:w="459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9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reimbursement for depreciation and lease payments on owned and committed equipment, funding commitments for loans and equity investments and payments for other committed expenses, including research and development and building depreciation. Funding commitments assume no additional operating lease guarantees. Additional operating lease guarantees can reduce funding commitments.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Flash Ventures </w:t>
      </w:r>
    </w:p>
    <w:p>
      <w:pPr>
        <w:pStyle w:val="TextBody"/>
        <w:bidi w:val="0"/>
        <w:spacing w:before="120" w:after="0"/>
        <w:jc w:val="left"/>
        <w:rPr>
          <w:rFonts w:ascii="Times New Roman" w:hAnsi="Times New Roman"/>
          <w:sz w:val="20"/>
        </w:rPr>
      </w:pPr>
      <w:r>
        <w:rPr>
          <w:rFonts w:ascii="Times New Roman" w:hAnsi="Times New Roman"/>
          <w:sz w:val="20"/>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December 27, 2024, and as of June 28, 2024, we were in compliance with all covenants under these Japanese lease facilities. See Note 9, Related Parties and Related Commitments and Contingencies, of the Notes to the Condensed Combined Financial Statements and Notes to the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Obligations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Unrecognized Tax Benefits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27, 2024, the liability for unrecognized tax benefits (excluding accrued interest and penalties) was approximately $60 million. Accrued interest and penalties related to unrecognized tax benefits as of December 27, 2024 was approximately $6 million. Of these amounts, approximately $66 million could result in potential cash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Foreign Exchange Contracts </w:t>
      </w:r>
    </w:p>
    <w:p>
      <w:pPr>
        <w:pStyle w:val="TextBody"/>
        <w:bidi w:val="0"/>
        <w:spacing w:before="120" w:after="0"/>
        <w:jc w:val="left"/>
        <w:rPr>
          <w:rFonts w:ascii="Times New Roman" w:hAnsi="Times New Roman"/>
          <w:sz w:val="20"/>
        </w:rPr>
      </w:pPr>
      <w:r>
        <w:rPr>
          <w:rFonts w:ascii="Times New Roman" w:hAnsi="Times New Roman"/>
          <w:sz w:val="20"/>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Note 7, Derivative Instruments and Hedging Activities, of the Notes to the Condensed Combined Financial Statements and Notes to the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We have prepared the accompanying unaudited Condensed Combined Financial Statements and audited Combined Financial Statements in accordance with GAAP. The preparation of the financial statements requires the use of judgments and estimates that affect the reported amounts of revenues, expenses, assets, liabilities and WDC net investment. We have adopted accounting policies and practices that are generally accepted in the industry in which we operate. If these estimates differ significantly from actual results, the impact to the unaudited Condensed Combined Financial Statements and audited Combined Financial Statements may be material.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provide distributors and retailers (collectively referred to as resellers) with limited price protection for inventories held by resellers at the time of published list price reductions. We also provide resellers and OEMs with other sales incentive programs. Sandisk records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Sandisk constrains variable consideration until the likelihood of a significant revenue reversal is not probable and believes that the expected value method is the appropriate estimate of the amount of variable consideration based on the fact that we have a large number of contracts with similar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For sales to OEMs, Sandisks methodology for estimating variable consideration is based on the amount of consideration expected to be earned based on the OEMs volume of purchases from Sandisk or other agreed-upon sales incentive programs. For sales to resellers, the methodology for estimating variable consideration is based on several factors, including historical pricing information, current pricing trends and channel inventory levels. Estimating the impact of these factors requires significant judgment and differences between the estimated and actual amounts of variable consideration can be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We value inventories at the lower of cost or net realizable value, or NRV, with cost determined on a first-in, first-out basis. We record inventory write-downs of our inventory to lower of cost or net realizable value or for obsolete or excess inventory based on assumptions, which requires significant judgment. The determination of NRV involves estimating the average selling prices less any selling expenses of inventory based on market conditions and customer demand. To estimate the average selling prices and selling expenses of inventory, we review historical sales, future demand, economic conditions, contract prices and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periodically perform an excess and obsolete analysis of our inventory based on assumptions, which includes changes in business and economic conditions, changes in technology and projected demand of our products. If in any period we anticipate a change in those assumptions to be less favorable than our previous estimates, additional inventory write-downs may be required and could materially and negatively impact our gross margin. If in any period, we can sell inventories that had been written down to a level below the realized selling price in the previous period, higher gross profit would be recognized in that period. Although adjustments to these reserves have typically been immaterial, in fiscal year 2024, we recorded a charge to cost of revenue of $95 million, primarily to reduce component inventory to NRV as a result of a sudden change in demand for certain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are calculated as if Sandisk files tax returns separate from WDC. 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or NOL,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The assessment of valuation allowances against our deferred tax assets requires estimations and significant judgment. We continue to assess and adjust valuation allowances based on operating results and market conditions. We account for interest and penalties related to income taxes as a component of the provision for income taxes. </w:t>
      </w:r>
    </w:p>
    <w:p>
      <w:pPr>
        <w:pStyle w:val="TextBody"/>
        <w:bidi w:val="0"/>
        <w:spacing w:before="240" w:after="0"/>
        <w:jc w:val="left"/>
        <w:rPr>
          <w:rFonts w:ascii="Times New Roman" w:hAnsi="Times New Roman"/>
          <w:sz w:val="20"/>
        </w:rPr>
      </w:pPr>
      <w:r>
        <w:rPr>
          <w:rFonts w:ascii="Times New Roman" w:hAnsi="Times New Roman"/>
          <w:sz w:val="20"/>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 recorded liabilities for unrealized tax benefits and materially affect our operating results</w:t>
      </w:r>
      <w:r>
        <w:rPr>
          <w:rFonts w:ascii="Times New Roman" w:hAnsi="Times New Roman"/>
          <w:b/>
          <w:sz w:val="20"/>
        </w:rPr>
        <w:t>.</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is not amortized. Instead, it is tested for impairment on an annual basis or more frequently if events or changes in circumstances indicate that goodwill may be impaired. Sandisk performs an annual impairment test as of the beginning of its fourth quarter or sooner if an indicator of impairment exists. We use qualitative factors to determine whether goodwill is more likely than not impaired and whether a quantitative test for impairment is considered necessary. If we conclude from the qualitative assessment that goodwill is more likely than not impaired, we are required to perform a quantitative assessment to determine the amount of impairment. We are required to use judgment when applying the goodwill impairment test, including in the identification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units. In addition, the estimates used to determine the fair value of each of our reporting unit may change based on results of operations, macroeconomic conditions or other factors. Changes in these estimates could materially affect Sandisks assessment of the fair value and goodwill impairment, which could result in a material charge and adversely affect our results of operations. We have not identified any impairment indicators for our reporting unit as of December 27, 2024, or as of June 28, 2024. We recorded goodwill impairment charges of $671 million for 2023 and recorded no goodwill impairment charges for 2022.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completion of the separation, the Company identified potential impairment indicators related to the trading price of the Companys common stock and a resulting market capitalization that was below its December 27, 2024 net book value. In accordance with Accounting Standards Codification No. 350, Intangibles - Goodwill and Other, the Company initiated a quantitative analysis of potential impairment of goodwill and long-lived assets. That analysis is ongoing, and the Company believes it is more likely than not that it will record an impairment charge in the three months ended March 28, 2025. See Note 5, Supplemental Financial Statement Data, for information about how goodwill is tested for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w:t>
      </w:r>
    </w:p>
    <w:p>
      <w:pPr>
        <w:pStyle w:val="TextBody"/>
        <w:bidi w:val="0"/>
        <w:spacing w:before="240" w:after="0"/>
        <w:jc w:val="left"/>
        <w:rPr>
          <w:rFonts w:ascii="Times New Roman" w:hAnsi="Times New Roman"/>
          <w:sz w:val="20"/>
        </w:rPr>
      </w:pPr>
      <w:r>
        <w:rPr>
          <w:rFonts w:ascii="Times New Roman" w:hAnsi="Times New Roman"/>
          <w:sz w:val="20"/>
        </w:rPr>
        <w:t xml:space="preserve">We have performed sensitivity analyses as of December 27, 2024,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December 27, 2024. The sensitivity analyses indicated that a hypothetical 10% adverse movement in foreign currency exchange rates relative to the U.S. dollar would result in a foreign exchange fair value loss of $165 million at December 27, 2024.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our efforts to mitigate some foreign exchange risks, we do not hedge all of our foreign currency exposures, and there can be no assurance that our mitigating activities related to the exposures that we do hedge will adequately protect us against risks associated with foreign currency fluctuations.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On February 21, 2025, we incurred variable rate debt in the principal amount of $2.0 billion under the Term Loan Facility. For additional information regarding the Term Loan Facility, see the section entitled Description of Material Indebtedness. As of March 28, 2025, the outstanding balance under the Term Loan Facility was $2.0 billion and a one percent increase in the variable rate of interest would increase annual interest expense by $20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934557_12"/>
      <w:bookmarkEnd w:id="14"/>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Sandisk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Our solutions include a broad range of solid state drives, embedded products, removable cards, universal serial bus drives and wafers and components. Our broad portfolio of technology and products addresses multiple end markets of Cloud, Client and Consumer. </w:t>
      </w:r>
    </w:p>
    <w:p>
      <w:pPr>
        <w:pStyle w:val="TextBody"/>
        <w:bidi w:val="0"/>
        <w:spacing w:before="240" w:after="0"/>
        <w:jc w:val="left"/>
        <w:rPr>
          <w:rFonts w:ascii="Times New Roman" w:hAnsi="Times New Roman"/>
          <w:sz w:val="20"/>
        </w:rPr>
      </w:pPr>
      <w:r>
        <w:rPr>
          <w:rFonts w:ascii="Times New Roman" w:hAnsi="Times New Roman"/>
          <w:sz w:val="20"/>
        </w:rPr>
        <w:t xml:space="preserve">Through the Client end market, we provide our original equipment manufacturer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capitalizes on the strength of our product brand recognition and vast points of presence around the world. Cloud is comprised primarily of products for public or private cloud environments and end customers. </w:t>
      </w:r>
    </w:p>
    <w:p>
      <w:pPr>
        <w:pStyle w:val="TextBody"/>
        <w:bidi w:val="0"/>
        <w:spacing w:before="240" w:after="0"/>
        <w:jc w:val="left"/>
        <w:rPr>
          <w:rFonts w:ascii="Times New Roman" w:hAnsi="Times New Roman"/>
          <w:sz w:val="20"/>
        </w:rPr>
      </w:pPr>
      <w:r>
        <w:rPr>
          <w:rFonts w:ascii="Times New Roman" w:hAnsi="Times New Roman"/>
          <w:sz w:val="20"/>
        </w:rPr>
        <w:t xml:space="preserve">We hold a strong position in the Consumer end market and have significant consumer brands and franchises globally, with valuable patent portfolios containing approximately 7,900 granted patents and approximately 2,800 pending patent applications worldwide. We have extensive customer, partner and channel relationships across a number of end-markets and geographies and have a rich heritage of innovation and operational excellence, a wide range of intellectual property assets, broad research and development capabilities and large-scale, efficient manufacturing supply chains. The strong growth in the amount, value and use of data continues, creating a global need for larger, faster, and more capable storage solutions. </w:t>
      </w:r>
    </w:p>
    <w:p>
      <w:pPr>
        <w:pStyle w:val="TextBody"/>
        <w:bidi w:val="0"/>
        <w:spacing w:before="240" w:after="0"/>
        <w:jc w:val="left"/>
        <w:rPr>
          <w:rFonts w:ascii="Times New Roman" w:hAnsi="Times New Roman"/>
          <w:sz w:val="20"/>
        </w:rPr>
      </w:pPr>
      <w:r>
        <w:rPr>
          <w:rFonts w:ascii="Times New Roman" w:hAnsi="Times New Roman"/>
          <w:sz w:val="20"/>
        </w:rPr>
        <w:t xml:space="preserve">We are a customer-focused organization that has developed deep relationships with industry leaders to continue to deliver innovative solutions to help users capture, store and transform data across a boundless range of applications. We help original equipment manufacturers address storage opportunities and solutions to capture and transform data in a myriad of devices and edge technologies. We have also built strong consumer brands with tools to manage vast libraries of personal content and to push the limits of whats possible for storage. At Sandisk, we continue to transform ourselves to address the growth in data by providing what we believe to be the broadest range of storage technologies in the industry with a comprehensive product portfolio and global reach.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w:t>
      </w:r>
    </w:p>
    <w:p>
      <w:pPr>
        <w:pStyle w:val="TextBody"/>
        <w:bidi w:val="0"/>
        <w:spacing w:before="120" w:after="0"/>
        <w:jc w:val="left"/>
        <w:rPr>
          <w:rFonts w:ascii="Times New Roman" w:hAnsi="Times New Roman"/>
          <w:sz w:val="20"/>
        </w:rPr>
      </w:pPr>
      <w:r>
        <w:rPr>
          <w:rFonts w:ascii="Times New Roman" w:hAnsi="Times New Roman"/>
          <w:sz w:val="20"/>
        </w:rPr>
        <w:t xml:space="preserve">We operate in the data storage industry. The ability to access, store and share data from anywhere on any device is increasingly important to our customers and end users. From the intelligent edge to the cloud, data storage is a fundamental component underpinning the global technology architecture. Our strengths in innovation and cost leadership, diversified product portfolio and broad routes to market provide a foundation upon which we are solidifying our position as an essential building block of the digital economy. There is tremendous market opportunity flowing from the rapid global adoption of the technology architecture built with cloud infrastructure tied to intelligent endpoints all connected by high-performance networks. The value and urgency of data storage at every point across this architecture have never been clearer.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computing complexity and advancements in artificial intelligence, along with growth in cloud computing applications, connected mobile devices and Internet-connected products, and edge devices is driving unabated growth in the volume of digital content to be stored and used. We believe our expertise and innovation in flash technology enable us to bring powerful solutions to a broader range of applications. We continuously monitor the full array of flash-based storage technologies, including reviewing these technologies with our customers, to ensure we are appropriately resourced to meet our customers storage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Flash Technology </w:t>
      </w:r>
    </w:p>
    <w:p>
      <w:pPr>
        <w:pStyle w:val="TextBody"/>
        <w:bidi w:val="0"/>
        <w:spacing w:before="120" w:after="0"/>
        <w:jc w:val="left"/>
        <w:rPr>
          <w:rFonts w:ascii="Times New Roman" w:hAnsi="Times New Roman"/>
          <w:sz w:val="20"/>
        </w:rPr>
      </w:pPr>
      <w:r>
        <w:rPr>
          <w:rFonts w:ascii="Times New Roman" w:hAnsi="Times New Roman"/>
          <w:sz w:val="20"/>
        </w:rPr>
        <w:t xml:space="preserve">Flash products provide non-volatile data storage based on flash technology. We develop and manufacture solid state storage products for a variety of applications including enterprise or cloud storage, client storage, automotive, mobile devices and removable memory devices. Over time, we have successfully developed and commercialized successive generations of 2- and 3-dimensional flash technology with increased numbers of storage bits per cell in an increasingly smaller form factor, further driving cost reductions. We devote significant research and development resources to the development of highly reliable, high-performance, cost-effective flash-based technology and are continually pursuing developments in next-generation flash-based technology capacities. 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 of use. </w:t>
      </w:r>
    </w:p>
    <w:p>
      <w:pPr>
        <w:pStyle w:val="TextBody"/>
        <w:bidi w:val="0"/>
        <w:spacing w:before="360" w:after="0"/>
        <w:jc w:val="left"/>
        <w:rPr>
          <w:rFonts w:ascii="Times New Roman" w:hAnsi="Times New Roman"/>
          <w:b/>
          <w:sz w:val="20"/>
        </w:rPr>
      </w:pPr>
      <w:r>
        <w:rPr>
          <w:rFonts w:ascii="Times New Roman" w:hAnsi="Times New Roman"/>
          <w:b/>
          <w:sz w:val="20"/>
        </w:rPr>
        <w:t xml:space="preserve">Our Data Solutions </w:t>
      </w:r>
    </w:p>
    <w:p>
      <w:pPr>
        <w:pStyle w:val="TextBody"/>
        <w:bidi w:val="0"/>
        <w:spacing w:before="120" w:after="0"/>
        <w:jc w:val="left"/>
        <w:rPr>
          <w:rFonts w:ascii="Times New Roman" w:hAnsi="Times New Roman"/>
          <w:sz w:val="20"/>
        </w:rPr>
      </w:pPr>
      <w:r>
        <w:rPr>
          <w:rFonts w:ascii="Times New Roman" w:hAnsi="Times New Roman"/>
          <w:sz w:val="20"/>
        </w:rPr>
        <w:t xml:space="preserve">Our broad portfolio of technology and products address multiple end markets of Cloud, Client and Consumer and are comprised of the SanDisk® brand. Certain of our products will also be sold for a limited transitional period under the Western Digital®, WD® and other brands under license from WDC. </w:t>
      </w:r>
    </w:p>
    <w:p>
      <w:pPr>
        <w:pStyle w:val="TextBody"/>
        <w:bidi w:val="0"/>
        <w:spacing w:before="240" w:after="0"/>
        <w:jc w:val="left"/>
        <w:rPr>
          <w:rFonts w:ascii="Times New Roman" w:hAnsi="Times New Roman"/>
          <w:sz w:val="20"/>
        </w:rPr>
      </w:pPr>
      <w:r>
        <w:rPr>
          <w:rFonts w:ascii="Times New Roman" w:hAnsi="Times New Roman"/>
          <w:sz w:val="20"/>
        </w:rPr>
        <w:t xml:space="preserve">Cloud represents a large and growing end market comprised primarily of products for public or private cloud environments and enterprise customers. We provide the Cloud end market with an array of high-performance enterprise solid state drives. Our high-performance enterprise class solid state drives include high-performance flash-based solid state drive and software solutions that are optimized for performance applications providing a range of capacity and performance levels primarily for use in enterprise servers and supporting high-volume online transactions, AI-related workloads, data analysis and other enterprise applications. </w:t>
      </w:r>
    </w:p>
    <w:p>
      <w:pPr>
        <w:pStyle w:val="TextBody"/>
        <w:bidi w:val="0"/>
        <w:spacing w:before="240" w:after="0"/>
        <w:jc w:val="left"/>
        <w:rPr>
          <w:rFonts w:ascii="Times New Roman" w:hAnsi="Times New Roman"/>
          <w:sz w:val="20"/>
        </w:rPr>
      </w:pPr>
      <w:r>
        <w:rPr>
          <w:rFonts w:ascii="Times New Roman" w:hAnsi="Times New Roman"/>
          <w:sz w:val="20"/>
        </w:rPr>
        <w:t xml:space="preserve">Through the Client end market, we provide numerous data solutions that we incorporate into our clients devices, which consist of solid state drive desktop and notebook PCs, gaming consoles and set top boxes, as well as flash-based embedded storage products for mobile phones, tablets, notebook PCs and other portable and wearable devices, automotive applications, Internet of Things, industrial and connected home applications. Our solid state drives are designed for use in devices requiring high performance, reliability and capacity with various attributes such as low cost per gigabyte, quiet acoustics, low power consumption and protection against shocks. </w:t>
      </w:r>
    </w:p>
    <w:p>
      <w:pPr>
        <w:pStyle w:val="TextBody"/>
        <w:bidi w:val="0"/>
        <w:spacing w:before="240" w:after="0"/>
        <w:jc w:val="left"/>
        <w:rPr>
          <w:rFonts w:ascii="Times New Roman" w:hAnsi="Times New Roman"/>
          <w:sz w:val="20"/>
        </w:rPr>
      </w:pPr>
      <w:r>
        <w:rPr>
          <w:rFonts w:ascii="Times New Roman" w:hAnsi="Times New Roman"/>
          <w:sz w:val="20"/>
        </w:rPr>
        <w:t xml:space="preserve">We serve the Consumer end market with a portfolio of solid state drives and removable flash, including cards and universal serial bus flash drives, through our retail and channel routes to market. We offer client portable solid state drives with a range of capacities and performance characteristics to address a broad spectrum of the client storage market. Our removable cards are designed primarily for use in consumer devices, such as mobile phones, tablets, imaging systems, cameras and smart video systems. Our universal serial bus flash drives are used in the computing and consumer markets and are designed for high-performance and reliability.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industry is highly competitive. We believe we are well positioned with our leading flash product portfolio, premium consumer brand, differentiated semiconductor innovation engine and leadership in driving cost efficiency. Nevertheless, we face strong competition from other manufacturers of flash in the Cloud, Client and Consumer end markets. We compete with vertically integrated suppliers such as Kioxia, Micron Technology, Inc., Samsung Electronics Co., Ltd., SK Hynix, Inc., Yangtze Memory Technologies Co., Ltd. and numerous smaller companies that assemble flash into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overall strategy is to leverage our innovation, technology and execution capabilities to be an industry-leading and broad-based developer, manufacturer and provider of storage devices and solutions that support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infrastructure that has enabled the unabated proliferation of data. We strive to successfully execute our strategy through the following foundational elements in order to create long-term value for our customers, partners, investors and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Innovation and Cost Leadership: </w:t>
            </w:r>
            <w:r>
              <w:rPr>
                <w:rFonts w:ascii="Times New Roman" w:hAnsi="Times New Roman"/>
                <w:sz w:val="20"/>
              </w:rPr>
              <w:t xml:space="preserve">We continue to innovate and develop advanced technologies across platforms to deliver timely new products and solutions to meet growing demands for scale, performance and cost efficiency in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Broad Product Portfolio: </w:t>
            </w:r>
            <w:r>
              <w:rPr>
                <w:rFonts w:ascii="Times New Roman" w:hAnsi="Times New Roman"/>
                <w:sz w:val="20"/>
              </w:rPr>
              <w:t xml:space="preserve">We leverage our capabilities in firmware, software and systems to deliver compelling and differentiated integrated storage solutions to our customers that offer the best combinations of performance, cost, power consumption, form factor, quality and reliability, while creating new use cases for our solutions in emerging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Operational Excellence: </w:t>
            </w:r>
            <w:r>
              <w:rPr>
                <w:rFonts w:ascii="Times New Roman" w:hAnsi="Times New Roman"/>
                <w:sz w:val="20"/>
              </w:rPr>
              <w:t xml:space="preserve">We are focused on delivering the best value for our customers in Cloud, Client and Consumer end markets through a relentless focus on appropriately scaling our operations to efficiently support business growth; achieving best in class cost, quality and cycle-time; maintaining industry leading manufacturing capabilities; and having a competitive advantage in supply-chain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strategy provides the following benefits, which distinguish us in the dynamic and competitive data storage industry: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varied product portfolio that establishes us as a leading developer and manufacturer of integrated products and solutions, making us a more strategic supply partner to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efficient and flexible manufacturing capabilities, allowing us to leverage our flash research and development and capital expenditures to deliver innovative and cost-effective storage solutions to multiple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deep relationships with industry leaders across the data ecosystems that give us the broadest routes to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leading consumer brand awareness and global retail distribution presence.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We devote substantial resources to the development of new products and the improvement of existing products. We focus our engineering efforts on optimizing our product design and manufacturing processes to bring our products to market in a cost-effective and timely manner. For a discussion of associated risks, see the section entitled Risk Factors beginning on page 13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Patents, Licenses and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rely on a combination of patents, trademarks, copyright and trade secret laws, confidentiality procedures and licensing arrangements to protect our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We have approximately 7,900 granted patents and approximately 2,800 pending patent applications worldwide.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 protection of certain intellectual property rights, we consider elements of our product designs and processes to be proprietary and confidential. We believe that our non-patented IP, particularly some of our process technology, is an important factor in our success. We rely upon non-disclosure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 </w:t>
      </w:r>
    </w:p>
    <w:p>
      <w:pPr>
        <w:pStyle w:val="TextBody"/>
        <w:bidi w:val="0"/>
        <w:spacing w:before="240" w:after="0"/>
        <w:jc w:val="left"/>
        <w:rPr>
          <w:rFonts w:ascii="Times New Roman" w:hAnsi="Times New Roman"/>
          <w:sz w:val="20"/>
        </w:rPr>
      </w:pPr>
      <w:r>
        <w:rPr>
          <w:rFonts w:ascii="Times New Roman" w:hAnsi="Times New Roman"/>
          <w:sz w:val="20"/>
        </w:rPr>
        <w:t xml:space="preserve">We rely on certain technology that we license from other parties to manufacture and sell our products. We believe that we have adequate cross-licenses and other agreements in place in addition to our own intellectual property portfolio to compete successfully in the storage industry. For a discussion of associated risks, see the section entitled Risk Factors beginning on page 13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we have significant know-how, unique product manufacturing processes, test and tooling, execution skills, human resources and training to continue to be successful and to adjust our manufacturing operations as necessary. We strive to maintain manufacturing flexibility, high manufacturing yields, reliable products and high-quality components. The critical elements of our production are high 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 </w:t>
      </w:r>
    </w:p>
    <w:p>
      <w:pPr>
        <w:pStyle w:val="TextBody"/>
        <w:bidi w:val="0"/>
        <w:spacing w:before="240" w:after="0"/>
        <w:jc w:val="left"/>
        <w:rPr>
          <w:rFonts w:ascii="Times New Roman" w:hAnsi="Times New Roman"/>
          <w:sz w:val="20"/>
        </w:rPr>
      </w:pPr>
      <w:r>
        <w:rPr>
          <w:rFonts w:ascii="Times New Roman" w:hAnsi="Times New Roman"/>
          <w:sz w:val="20"/>
        </w:rPr>
        <w:t xml:space="preserve">Flash manufacturing requires complex processes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also leverage contract manufacturers when strategically advantageous.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Operations </w:t>
      </w:r>
    </w:p>
    <w:p>
      <w:pPr>
        <w:pStyle w:val="TextBody"/>
        <w:bidi w:val="0"/>
        <w:spacing w:before="120" w:after="0"/>
        <w:jc w:val="left"/>
        <w:rPr>
          <w:rFonts w:ascii="Times New Roman" w:hAnsi="Times New Roman"/>
          <w:sz w:val="20"/>
        </w:rPr>
      </w:pPr>
      <w:r>
        <w:rPr>
          <w:rFonts w:ascii="Times New Roman" w:hAnsi="Times New Roman"/>
          <w:sz w:val="20"/>
        </w:rPr>
        <w:t xml:space="preserve">Our flash consists of flash-based memory, controllers and firmware and other components. Substantially all of our flash-based memory is obtained from our joint ventures with Kioxia, which provide us with leading-edge, high-quality and low-cost flash memory wafers. While substantially all of our flash memory supply utilized for our products are purchased from these ventures, from time to time, we also purchase flash memory from other flash manufacturers. Controllers are primarily designed in-house and manufactured by third-party foundries or acquired from third-party suppliers. Our assembly and test operations comprise in-house assembly and test facilities located in Penang, Malaysia and other contract manufacturers, and the assembly and test facility owned and operated by the SDSS Venture. The SDSS Venture is 20% owned by Sandisk and 80% owned by JCET. We believe the use of our in-house assembly and test facilities and manufacturing partners provide flexibility and give us access to increased production capacity. </w:t>
      </w:r>
    </w:p>
    <w:p>
      <w:pPr>
        <w:pStyle w:val="TextBody"/>
        <w:bidi w:val="0"/>
        <w:spacing w:before="240" w:after="0"/>
        <w:jc w:val="left"/>
        <w:rPr>
          <w:rFonts w:ascii="Times New Roman" w:hAnsi="Times New Roman"/>
          <w:sz w:val="20"/>
        </w:rPr>
      </w:pPr>
      <w:r>
        <w:rPr>
          <w:rFonts w:ascii="Times New Roman" w:hAnsi="Times New Roman"/>
          <w:sz w:val="20"/>
        </w:rPr>
        <w:t xml:space="preserve">We and Kioxia currently operate the Flash Ventures across seven flash-based manufacturing facilities in Japan, six of which are located in Yokkaichi, Japan and one of which is located in Kitakami, Japan. Flash Ventures will begin flash-based manufacturing operations at an eighth facility in Japan in calendar year 2025. Through Flash Ventures, we and Kioxia collaborate in the development and manufacture of flash-based memory wafers using semiconductor manufacturing equipment owned or leased by each of the Flash Ventures entities. We co-develop flash technologies (including process technology and memory design) with Kioxia for Flash Ventures use. We and Kioxia jointly own these co-developed flash technologies. We and Kioxia also contribute to the collaboration and license to each other technologies that are independently developed and owned by each of us and are reasonably necessary to our joint development or manufacture of flash-based memory. We hold a 49.9% ownership position in each of the Flash Ventures entities. We jointly control with Kioxia the operations of Flash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Ventures, and we believe our participation in Flash Ventures helps us reduce product costs, increases our ability to control the quality of our products and speeds delivery of our products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Kioxia owns the facilities and provides wafer manufacturing services to Flash Ventures at cost using manufacturing equipment owned or leased by Flash Ventures and process technologies co-owned or contributed by us and Kioxia. Flash Ventures accounts for approximately 80% of the total manufacturing capacity in the facilities owned by Kioxia. We and Kioxia are entitled to purchase a share of Flash Ventures output, which generally equals 50% each. The price for which we and Kioxia pay Flash Ventures for flash memory wafers is cost plus a small markup. We are obligated to pay for variable costs incurred in producing our share of Flash Ventures flash-based memory wafer supply, based on a rolling forecast. In addition, we are obligated to pay for half of Flash Ventures fixed costs regardless of the output we choose to purchase. </w:t>
      </w:r>
    </w:p>
    <w:p>
      <w:pPr>
        <w:pStyle w:val="TextBody"/>
        <w:bidi w:val="0"/>
        <w:spacing w:before="240" w:after="0"/>
        <w:jc w:val="left"/>
        <w:rPr>
          <w:rFonts w:ascii="Times New Roman" w:hAnsi="Times New Roman"/>
          <w:sz w:val="20"/>
        </w:rPr>
      </w:pPr>
      <w:r>
        <w:rPr>
          <w:rFonts w:ascii="Times New Roman" w:hAnsi="Times New Roman"/>
          <w:sz w:val="20"/>
        </w:rPr>
        <w:t xml:space="preserve">While Flash Ventures is operating, we and Kioxia are restricted from working with third parties to manufacture flash-based memory or from fabricating flash-based memory beyond the capacity specified in our agreements with Kioxia. In addition, we may not manufacture flash-based memory ourselves except to the extent that we acquire the manufacturing capacity of a Flash Ventures entity as a result of such entitys dissolution or termination of its joint venture agreements or upon our acquisition of all the ownership interests in such entity.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governing the operations of the Flash Ventures entities also set out a framework for any investment by the joint venture partners in flash manufacturing capacity. We have jointly invested, and intend to continue to jointly invest, with Kioxia in the manufacturing equipment needed to support Flash Ventures flash manufacturing operations. In addition, we are obligated to fund 49.9% to 50.0% of capital investments that a Flash Ventures entity decided to make to the extent that the Flash Ventures entitys operating cash flow is insufficient to fund these investments. </w:t>
      </w:r>
    </w:p>
    <w:p>
      <w:pPr>
        <w:pStyle w:val="TextBody"/>
        <w:bidi w:val="0"/>
        <w:spacing w:before="240" w:after="0"/>
        <w:jc w:val="left"/>
        <w:rPr>
          <w:rFonts w:ascii="Times New Roman" w:hAnsi="Times New Roman"/>
          <w:sz w:val="20"/>
        </w:rPr>
      </w:pPr>
      <w:r>
        <w:rPr>
          <w:rFonts w:ascii="Times New Roman" w:hAnsi="Times New Roman"/>
          <w:sz w:val="20"/>
        </w:rPr>
        <w:t xml:space="preserve">Each Flash Ventures entity operates for a set amount of time as agreed between us and Kioxia. Since the start of Flash Ventures, we and Kioxia have extended the term for all three of the Flash Ventures entities. Absent further extensions as mutually agreed between us and Kioxia, Flash Partners Ltd. and Flash Alliance Ltd. are currently set to expire on December 31, 2029, and Flash Forward Ltd. is currently set to expire on December 31, 2034. Each Flash Ventures entitys joint venture agreements may also earlier terminate upon the occurrence of certain specified events, including earlier dissolution by agreement of the parties or an event of default or bankruptcy. Upon the expiration of a Flash Ventures entitys joint venture agreements, whenever that may occur, the applicable Flash Ventures entity will commence a wind-up process and be dissolved. Net proceeds from the dissolution will be distributed in kind or cash to us and Kioxia on a pro rata basis based on our respective ownership positions. The applicable Flash Venture entity will continue to operate during the period of winding up. </w:t>
      </w:r>
    </w:p>
    <w:p>
      <w:pPr>
        <w:pStyle w:val="TextBody"/>
        <w:bidi w:val="0"/>
        <w:spacing w:before="240" w:after="0"/>
        <w:jc w:val="left"/>
        <w:rPr>
          <w:rFonts w:ascii="Times New Roman" w:hAnsi="Times New Roman"/>
          <w:sz w:val="20"/>
        </w:rPr>
      </w:pPr>
      <w:r>
        <w:rPr>
          <w:rFonts w:ascii="Times New Roman" w:hAnsi="Times New Roman"/>
          <w:sz w:val="20"/>
        </w:rPr>
        <w:t xml:space="preserve">On January 24, 2025, the Company and WDC entered into an equity transfer agreement (the Equity Transfer Agreement) to transfer WDCs entire equity interest in Unisplendour Corporation Limited and Unissoft (Wuxi) Group Co. Ltd. (Unis), referred to as the Unis Venture, to the Company. The Unis Venture is 49% owned by the Company and 51% owned by Unis. The Unis Venture markets and sells the Companys products in China and develops data storage systems for the Chinese market.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execution of the Equity Transfer Agreement, the Unis Venture was not historically managed as a component of the Company and as such, the related equity method investment was not reflected within our Condensed Consolidated Financial Statements. After the execution of the Equity Transfer Agreement, the Company accounts for its investment in the Unis Venture under the equity method of accounting. The Companys 49% interest in the earnings of the Unis Venture will be recognized one quarter in arrears from the date the Unis Venture was transferred to the Company and will be reported in Other expense, net in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associated risks, see the section entitled Risk Factors beginning on page 13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Materials and Supplies </w:t>
      </w:r>
    </w:p>
    <w:p>
      <w:pPr>
        <w:pStyle w:val="TextBody"/>
        <w:bidi w:val="0"/>
        <w:spacing w:before="120" w:after="0"/>
        <w:jc w:val="left"/>
        <w:rPr>
          <w:rFonts w:ascii="Times New Roman" w:hAnsi="Times New Roman"/>
          <w:sz w:val="20"/>
        </w:rPr>
      </w:pPr>
      <w:r>
        <w:rPr>
          <w:rFonts w:ascii="Times New Roman" w:hAnsi="Times New Roman"/>
          <w:sz w:val="20"/>
        </w:rPr>
        <w:t xml:space="preserve">Our flash consists of flash-based memory, controllers and firmware and other components. Substantially all of our flash-based memory is obtained from Flash Ventures. While substantially all of our flash memory supply utilized for our products is purchased from these ventures, from time to time, we also purchase flash memory from other flash manufacturers. Controllers are primarily designed in-house and manufactured by third-party foundries or acquired from third-party suppliers. We believe the use of our assembly and test facilities, as well as contract manufacturers, provides flexibility and gives us access to increased production capacity. We have developed deep relationships with these vendors and Kioxia to establish a continuous supply of flash-based memory and controllers. </w:t>
      </w:r>
    </w:p>
    <w:p>
      <w:pPr>
        <w:pStyle w:val="TextBody"/>
        <w:bidi w:val="0"/>
        <w:spacing w:before="240" w:after="0"/>
        <w:jc w:val="left"/>
        <w:rPr>
          <w:rFonts w:ascii="Times New Roman" w:hAnsi="Times New Roman"/>
          <w:sz w:val="20"/>
        </w:rPr>
      </w:pPr>
      <w:r>
        <w:rPr>
          <w:rFonts w:ascii="Times New Roman" w:hAnsi="Times New Roman"/>
          <w:sz w:val="20"/>
        </w:rPr>
        <w:t xml:space="preserve">We generally retain multiple suppliers for our component requirements, but for business or technology reasons, we source some of our components from a limited number of sole or single source providers. For a discussion of associated risks, see the section entitled Risk Factors beginning on page 13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sell our products to computer manufacturers and original equipment manufacturers, cloud service providers, resellers, distributors and retailers throughout the world. 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86%, 81% and 82% of our net revenue for 2024, 2023 and 2022, respectively. Sales to international customers are subject to certain risks not normally encountered in domestic operations, including exposure to tariffs and various trade regulations. For a discussion of associated risks, see the section entitled Risk Factors beginning on page 13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perform our marketing and advertising functions both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original equipment manufacturers with other sales incentive programs.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2024, no customer accounted for more than 10% of our net revenue. For fiscal years 2023 and 2022, one customer accounted for 15% and 11% of our net revenue,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experienced seasonal fluctuations in our business with higher levels of demand in the first and second quarters as a result of increased customer spending. Seasonality can also be impacted by cyclicality in the industry and macroeconomic conditions. For a discussion of associated risks, see the section entitled Risk Factors beginning on page 13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Service and Warranty </w:t>
      </w:r>
    </w:p>
    <w:p>
      <w:pPr>
        <w:pStyle w:val="TextBody"/>
        <w:bidi w:val="0"/>
        <w:spacing w:before="120" w:after="0"/>
        <w:jc w:val="left"/>
        <w:rPr>
          <w:rFonts w:ascii="Times New Roman" w:hAnsi="Times New Roman"/>
          <w:sz w:val="20"/>
        </w:rPr>
      </w:pPr>
      <w:r>
        <w:rPr>
          <w:rFonts w:ascii="Times New Roman" w:hAnsi="Times New Roman"/>
          <w:sz w:val="20"/>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Note 1, Organization and Basis of Presentation, and Note 5, Supplemental Financial Statement Data, of the Notes to Combined Financial Statements included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Human 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In order to support our strategy, an emphasis on talent is required. We focus on attracting, developing, engaging and retaining the best talent for our company. As of March 28, 2025, we employed approximately 10,900 people worldwide.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Inclusion </w:t>
      </w:r>
    </w:p>
    <w:p>
      <w:pPr>
        <w:pStyle w:val="TextBody"/>
        <w:bidi w:val="0"/>
        <w:spacing w:before="120" w:after="0"/>
        <w:jc w:val="left"/>
        <w:rPr>
          <w:rFonts w:ascii="Times New Roman" w:hAnsi="Times New Roman"/>
          <w:sz w:val="20"/>
        </w:rPr>
      </w:pPr>
      <w:r>
        <w:rPr>
          <w:rFonts w:ascii="Times New Roman" w:hAnsi="Times New Roman"/>
          <w:sz w:val="20"/>
        </w:rPr>
        <w:t xml:space="preserve">To attract and retain the best talent, we strive to cultivate an inclusive environment where every individual can thrive through a sense of belonging, respect and contribution. We support inclusive hiring, training and development opportunities and strive to ensure equitable pay for employees. We also support the identification of opportunities for new inclusive initiatives, which may include adopting employee resource groups to boost engagement, increasing opportunities for professional development and networking and fostering our diverse representation across our global workforce, including diversity in personal characteristics, experience, skills, gender, race, ethnicity and membership in underrepresented communities.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Benefits and Safety </w:t>
      </w:r>
    </w:p>
    <w:p>
      <w:pPr>
        <w:pStyle w:val="TextBody"/>
        <w:bidi w:val="0"/>
        <w:spacing w:before="120" w:after="0"/>
        <w:jc w:val="left"/>
        <w:rPr>
          <w:rFonts w:ascii="Times New Roman" w:hAnsi="Times New Roman"/>
          <w:sz w:val="20"/>
        </w:rPr>
      </w:pPr>
      <w:r>
        <w:rPr>
          <w:rFonts w:ascii="Times New Roman" w:hAnsi="Times New Roman"/>
          <w:sz w:val="20"/>
        </w:rPr>
        <w:t xml:space="preserve">We believe in the importance of investing in our people, and we do that through initiatives which include: (i) promoting a pay-for-performance culture and offering employees competitive compensation consisting of base salary and both short-term and long-term incentives; (ii) providing competitive benefits (which vary by country/region), including health coverage, life and disability insurance, retirement and paid time off; (iii) benchmarking our compensation and benefits programs; and (iv) providing extensive health and safety resources and training to all of our employees, especially for those who work in our manufacturing and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Talent Attraction, Development and Engagement </w:t>
      </w:r>
    </w:p>
    <w:p>
      <w:pPr>
        <w:pStyle w:val="TextBody"/>
        <w:bidi w:val="0"/>
        <w:spacing w:before="120" w:after="0"/>
        <w:jc w:val="left"/>
        <w:rPr>
          <w:rFonts w:ascii="Times New Roman" w:hAnsi="Times New Roman"/>
          <w:sz w:val="20"/>
        </w:rPr>
      </w:pPr>
      <w:r>
        <w:rPr>
          <w:rFonts w:ascii="Times New Roman" w:hAnsi="Times New Roman"/>
          <w:sz w:val="20"/>
        </w:rPr>
        <w:t xml:space="preserve">Foundational to our people strategy is the attraction, development and engagement of our employees. We foster the next generation of talent as a key priority, as we believe that developing our talent will be instrumental in helping us to reach our business goals and retaining our people. Our roadmap for programs to invest in our employees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implementing skills-based screening to hire employees based on capabilities and potential;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fostering an environment of continuous learning through on-demand tools to help employees chart their career journey and track their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listening to our employees to identify opportunities to strengthen employee engagement as well as influencing our overall strategy;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engaging employees by taking actions to promote and ground them in our core values and beliefs as a company, so that we are conducting business in an ethical way.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Our worldwide business activities are subject to various laws, rules and regulations of the United States as well as of foreign governments. Compliance with existing or future governmental regulations, including, but not limited to, those pertaining to global trade, the environment, consumer and data protection, employee health and safety and taxes, could have a material impact on our capital expenditures, earnings, competitive position and overall business in subsequent periods. For a discussion of associated risks, see the section entitled Risk Factors beginning on page 13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Responsibility and Sustainability </w:t>
      </w:r>
    </w:p>
    <w:p>
      <w:pPr>
        <w:pStyle w:val="TextBody"/>
        <w:bidi w:val="0"/>
        <w:spacing w:before="120" w:after="0"/>
        <w:jc w:val="left"/>
        <w:rPr>
          <w:rFonts w:ascii="Times New Roman" w:hAnsi="Times New Roman"/>
          <w:sz w:val="20"/>
        </w:rPr>
      </w:pPr>
      <w:r>
        <w:rPr>
          <w:rFonts w:ascii="Times New Roman" w:hAnsi="Times New Roman"/>
          <w:sz w:val="20"/>
        </w:rPr>
        <w:t xml:space="preserve">We believe responsible and sustainable business practices support our long-term success. As a company, we strive to protect and support our people, our environment and our communities. We expect to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sustainability-focused initiatives as well as day-to-day activities, including adopting sustainability-focused policies and procedures, focusing on fostering an inclusive workplace, driving toward more efficient use of materials and energy, careful and active management of our supply chain, community-focused volunteerism programs and philanthropic initiatives and impactful, globally integrated ethics and compliance programs.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seek to protect the human rights and civil liberties of our employees through policies, procedures and programs that avoid risks of compulsory and child labor, both within our company and throughout our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plan to foster a workplace of dignity, respect, diversity and inclusion through our recruiting and advancement practices, internal communications and employee resource groups.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strive to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to support local communities throughout the world, focusing on hunger relief, environmental quality and STEM (science, technology, engineering and math) education, especially for underrepresented and underprivileged youth.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strive to utilize a robust integrated management system, with associated policies and procedures, to evaluate and manage occupational health and safety risks, environmental compliance and chemical and hazardous substance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seek to minimize our impacts on the environment through emissions reduction targets and other initiatives and to evaluate and enhance our climate resilience.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seek to innovate to reduce the energy used by our products, the energy used to manufacture them and the amount of new materials required to manufacture them.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are currently located at 951 Sandisk Drive, Milpitas, California 95035. Our principal manufacturing, R&amp;D, marketing and administrative facilities as of the date of this prospectus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4"/>
        <w:gridCol w:w="1530"/>
        <w:gridCol w:w="204"/>
        <w:gridCol w:w="1122"/>
        <w:gridCol w:w="204"/>
        <w:gridCol w:w="4696"/>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w:t>
            </w:r>
          </w:p>
        </w:tc>
        <w:tc>
          <w:tcPr>
            <w:tcW w:w="204" w:type="dxa"/>
            <w:tcBorders/>
            <w:vAlign w:val="bottom"/>
          </w:tcPr>
          <w:p>
            <w:pPr>
              <w:pStyle w:val="TableContents"/>
              <w:bidi w:val="0"/>
              <w:spacing w:before="0" w:after="283"/>
              <w:jc w:val="left"/>
              <w:rPr/>
            </w:pPr>
            <w:r>
              <w:rPr/>
              <w:t>  </w:t>
            </w:r>
          </w:p>
        </w:tc>
        <w:tc>
          <w:tcPr>
            <w:tcW w:w="153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Buildings Owned</w:t>
            </w:r>
          </w:p>
          <w:p>
            <w:pPr>
              <w:pStyle w:val="TableContents"/>
              <w:bidi w:val="0"/>
              <w:spacing w:before="0" w:after="20"/>
              <w:jc w:val="center"/>
              <w:rPr>
                <w:rFonts w:ascii="Times New Roman" w:hAnsi="Times New Roman"/>
                <w:sz w:val="16"/>
              </w:rPr>
            </w:pPr>
            <w:r>
              <w:rPr>
                <w:rFonts w:ascii="Times New Roman" w:hAnsi="Times New Roman"/>
                <w:sz w:val="16"/>
              </w:rPr>
              <w:t>or Leased</w:t>
            </w:r>
          </w:p>
        </w:tc>
        <w:tc>
          <w:tcPr>
            <w:tcW w:w="204" w:type="dxa"/>
            <w:tcBorders/>
            <w:vAlign w:val="bottom"/>
          </w:tcPr>
          <w:p>
            <w:pPr>
              <w:pStyle w:val="TableContents"/>
              <w:bidi w:val="0"/>
              <w:spacing w:before="0" w:after="283"/>
              <w:jc w:val="left"/>
              <w:rPr/>
            </w:pPr>
            <w:r>
              <w:rPr/>
              <w:t>  </w:t>
            </w:r>
          </w:p>
        </w:tc>
        <w:tc>
          <w:tcPr>
            <w:tcW w:w="112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Approximate</w:t>
            </w:r>
          </w:p>
          <w:p>
            <w:pPr>
              <w:pStyle w:val="TableContents"/>
              <w:bidi w:val="0"/>
              <w:spacing w:before="0" w:after="0"/>
              <w:jc w:val="center"/>
              <w:rPr>
                <w:rFonts w:ascii="Times New Roman" w:hAnsi="Times New Roman"/>
                <w:sz w:val="16"/>
              </w:rPr>
            </w:pPr>
            <w:r>
              <w:rPr>
                <w:rFonts w:ascii="Times New Roman" w:hAnsi="Times New Roman"/>
                <w:sz w:val="16"/>
              </w:rPr>
              <w:t>Square</w:t>
            </w:r>
          </w:p>
          <w:p>
            <w:pPr>
              <w:pStyle w:val="TableContents"/>
              <w:bidi w:val="0"/>
              <w:spacing w:before="0" w:after="20"/>
              <w:jc w:val="center"/>
              <w:rPr>
                <w:rFonts w:ascii="Times New Roman" w:hAnsi="Times New Roman"/>
                <w:sz w:val="16"/>
              </w:rPr>
            </w:pPr>
            <w:r>
              <w:rPr>
                <w:rFonts w:ascii="Times New Roman" w:hAnsi="Times New Roman"/>
                <w:sz w:val="16"/>
              </w:rPr>
              <w:t>Footage</w:t>
            </w:r>
          </w:p>
        </w:tc>
        <w:tc>
          <w:tcPr>
            <w:tcW w:w="204" w:type="dxa"/>
            <w:tcBorders/>
            <w:vAlign w:val="bottom"/>
          </w:tcPr>
          <w:p>
            <w:pPr>
              <w:pStyle w:val="TableContents"/>
              <w:bidi w:val="0"/>
              <w:spacing w:before="0" w:after="283"/>
              <w:jc w:val="left"/>
              <w:rPr/>
            </w:pPr>
            <w:r>
              <w:rPr/>
              <w:t>  </w:t>
            </w:r>
          </w:p>
        </w:tc>
        <w:tc>
          <w:tcPr>
            <w:tcW w:w="46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c>
          <w:tcPr>
            <w:tcW w:w="2245" w:type="dxa"/>
            <w:tcBorders/>
          </w:tcPr>
          <w:p>
            <w:pPr>
              <w:pStyle w:val="TableContents"/>
              <w:bidi w:val="0"/>
              <w:spacing w:before="0" w:after="283"/>
              <w:jc w:val="left"/>
              <w:rPr/>
            </w:pPr>
            <w:r>
              <w:rPr/>
              <w:t>Milpitas, California (United States)</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pPr>
            <w:r>
              <w:rPr/>
              <w:t>Leased</w:t>
            </w:r>
          </w:p>
        </w:tc>
        <w:tc>
          <w:tcPr>
            <w:tcW w:w="20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578,000</w:t>
            </w:r>
          </w:p>
        </w:tc>
        <w:tc>
          <w:tcPr>
            <w:tcW w:w="20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Flash R&amp;D, marketing and sales and administrative</w:t>
            </w:r>
          </w:p>
        </w:tc>
      </w:tr>
      <w:tr>
        <w:trPr/>
        <w:tc>
          <w:tcPr>
            <w:tcW w:w="2245" w:type="dxa"/>
            <w:tcBorders/>
          </w:tcPr>
          <w:p>
            <w:pPr>
              <w:pStyle w:val="TableContents"/>
              <w:bidi w:val="0"/>
              <w:spacing w:before="0" w:after="283"/>
              <w:jc w:val="left"/>
              <w:rPr/>
            </w:pPr>
            <w:r>
              <w:rPr/>
              <w:t>Longmont, Colorado (United States)</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pPr>
            <w:r>
              <w:rPr/>
              <w:t>Leased</w:t>
            </w:r>
          </w:p>
        </w:tc>
        <w:tc>
          <w:tcPr>
            <w:tcW w:w="20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62,000</w:t>
            </w:r>
          </w:p>
        </w:tc>
        <w:tc>
          <w:tcPr>
            <w:tcW w:w="20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Flash R&amp;D</w:t>
            </w:r>
          </w:p>
        </w:tc>
      </w:tr>
      <w:tr>
        <w:trPr/>
        <w:tc>
          <w:tcPr>
            <w:tcW w:w="2245" w:type="dxa"/>
            <w:tcBorders/>
          </w:tcPr>
          <w:p>
            <w:pPr>
              <w:pStyle w:val="TableContents"/>
              <w:bidi w:val="0"/>
              <w:spacing w:before="0" w:after="283"/>
              <w:jc w:val="left"/>
              <w:rPr/>
            </w:pPr>
            <w:r>
              <w:rPr/>
              <w:t>Penang (Malaysia)</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pPr>
            <w:r>
              <w:rPr/>
              <w:t>Owned</w:t>
            </w:r>
          </w:p>
        </w:tc>
        <w:tc>
          <w:tcPr>
            <w:tcW w:w="20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1,889,000</w:t>
            </w:r>
          </w:p>
        </w:tc>
        <w:tc>
          <w:tcPr>
            <w:tcW w:w="20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Assembly and test of SSD, manufacturing of media and Flash R&amp;D</w:t>
            </w:r>
          </w:p>
        </w:tc>
      </w:tr>
      <w:tr>
        <w:trPr/>
        <w:tc>
          <w:tcPr>
            <w:tcW w:w="2245" w:type="dxa"/>
            <w:tcBorders/>
          </w:tcPr>
          <w:p>
            <w:pPr>
              <w:pStyle w:val="TableContents"/>
              <w:bidi w:val="0"/>
              <w:spacing w:before="0" w:after="283"/>
              <w:jc w:val="left"/>
              <w:rPr/>
            </w:pPr>
            <w:r>
              <w:rPr/>
              <w:t>Bangalore (India)</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pPr>
            <w:r>
              <w:rPr/>
              <w:t>Owned and Leased</w:t>
            </w:r>
          </w:p>
        </w:tc>
        <w:tc>
          <w:tcPr>
            <w:tcW w:w="20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1,260,000</w:t>
            </w:r>
          </w:p>
        </w:tc>
        <w:tc>
          <w:tcPr>
            <w:tcW w:w="20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Flash R&amp;D and administrative</w:t>
            </w:r>
          </w:p>
        </w:tc>
      </w:tr>
      <w:tr>
        <w:trPr/>
        <w:tc>
          <w:tcPr>
            <w:tcW w:w="2245" w:type="dxa"/>
            <w:tcBorders/>
          </w:tcPr>
          <w:p>
            <w:pPr>
              <w:pStyle w:val="TableContents"/>
              <w:bidi w:val="0"/>
              <w:spacing w:before="0" w:after="283"/>
              <w:jc w:val="left"/>
              <w:rPr/>
            </w:pPr>
            <w:r>
              <w:rPr/>
              <w:t>Kfar Saba (Israel)</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pPr>
            <w:r>
              <w:rPr/>
              <w:t>Owned</w:t>
            </w:r>
          </w:p>
        </w:tc>
        <w:tc>
          <w:tcPr>
            <w:tcW w:w="20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167,000</w:t>
            </w:r>
          </w:p>
        </w:tc>
        <w:tc>
          <w:tcPr>
            <w:tcW w:w="20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Flash R&amp;D</w:t>
            </w:r>
          </w:p>
        </w:tc>
      </w:tr>
      <w:tr>
        <w:trPr/>
        <w:tc>
          <w:tcPr>
            <w:tcW w:w="2245" w:type="dxa"/>
            <w:tcBorders/>
          </w:tcPr>
          <w:p>
            <w:pPr>
              <w:pStyle w:val="TableContents"/>
              <w:bidi w:val="0"/>
              <w:spacing w:before="0" w:after="283"/>
              <w:jc w:val="left"/>
              <w:rPr/>
            </w:pPr>
            <w:r>
              <w:rPr/>
              <w:t>Tefen (Israel)</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pPr>
            <w:r>
              <w:rPr/>
              <w:t>Owned</w:t>
            </w:r>
          </w:p>
        </w:tc>
        <w:tc>
          <w:tcPr>
            <w:tcW w:w="204" w:type="dxa"/>
            <w:tcBorders/>
            <w:vAlign w:val="bottom"/>
          </w:tcPr>
          <w:p>
            <w:pPr>
              <w:pStyle w:val="TableContents"/>
              <w:bidi w:val="0"/>
              <w:spacing w:before="0" w:after="283"/>
              <w:jc w:val="left"/>
              <w:rPr/>
            </w:pPr>
            <w:r>
              <w:rPr/>
              <w:t>  </w:t>
            </w:r>
          </w:p>
        </w:tc>
        <w:tc>
          <w:tcPr>
            <w:tcW w:w="1122" w:type="dxa"/>
            <w:tcBorders/>
          </w:tcPr>
          <w:p>
            <w:pPr>
              <w:pStyle w:val="TableContents"/>
              <w:bidi w:val="0"/>
              <w:spacing w:before="0" w:after="283"/>
              <w:jc w:val="left"/>
              <w:rPr/>
            </w:pPr>
            <w:r>
              <w:rPr/>
              <w:t>72,000</w:t>
            </w:r>
          </w:p>
        </w:tc>
        <w:tc>
          <w:tcPr>
            <w:tcW w:w="20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Flash R&amp;D</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lease office space in various other locations throughout the world primarily for R&amp;D, sales, operations, manufacturing, administration and technical support. We believe our present facilities are adequate for our current needs, although we update our facilities from time to time to meet anticipated future technological and market requirements.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of our flash-based memory wafers are manufactured by Kioxia in purpose-built, wafer fabrication facilities located in Yokkaichi and Kitakami, Japan.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Sandisk is subject to legal proceedings, lawsuits and other claims. Although the ultimate aggregate amount of reasonably possible monetary liability or financial impact with respect to these matters is subject to many uncertainties, our management believes that any monetary liability or financial impact to Sandisk from these matters, individually and in the aggregate, would not be material to our financial condition, results of operations or cash flows. However, any monetary liability and financial impact to Sandisk from these matters could differ materially from our expectations.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34557_13"/>
      <w:bookmarkEnd w:id="15"/>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individuals who serve as our executive officers as of April 30, 2025, and is followed by biographies of each such executive officer.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1"/>
        <w:gridCol w:w="120"/>
        <w:gridCol w:w="1145"/>
        <w:gridCol w:w="219"/>
        <w:gridCol w:w="4210"/>
      </w:tblGrid>
      <w:tr>
        <w:trPr/>
        <w:tc>
          <w:tcPr>
            <w:tcW w:w="45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4210" w:type="dxa"/>
            <w:tcBorders/>
            <w:vAlign w:val="center"/>
          </w:tcPr>
          <w:p>
            <w:pPr>
              <w:pStyle w:val="TableContents"/>
              <w:bidi w:val="0"/>
              <w:spacing w:before="0" w:after="283"/>
              <w:jc w:val="left"/>
              <w:rPr>
                <w:sz w:val="4"/>
                <w:szCs w:val="4"/>
              </w:rPr>
            </w:pPr>
            <w:r>
              <w:rPr>
                <w:sz w:val="4"/>
                <w:szCs w:val="4"/>
              </w:rPr>
            </w:r>
          </w:p>
        </w:tc>
      </w:tr>
      <w:tr>
        <w:trPr/>
        <w:tc>
          <w:tcPr>
            <w:tcW w:w="45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19" w:type="dxa"/>
            <w:tcBorders/>
            <w:vAlign w:val="bottom"/>
          </w:tcPr>
          <w:p>
            <w:pPr>
              <w:pStyle w:val="TableContents"/>
              <w:bidi w:val="0"/>
              <w:spacing w:before="0" w:after="283"/>
              <w:jc w:val="left"/>
              <w:rPr/>
            </w:pPr>
            <w:r>
              <w:rPr/>
              <w:t>  </w:t>
            </w:r>
          </w:p>
        </w:tc>
        <w:tc>
          <w:tcPr>
            <w:tcW w:w="42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David V. Goeckeler</w:t>
            </w:r>
          </w:p>
        </w:tc>
        <w:tc>
          <w:tcPr>
            <w:tcW w:w="12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63</w:t>
            </w:r>
          </w:p>
        </w:tc>
        <w:tc>
          <w:tcPr>
            <w:tcW w:w="219" w:type="dxa"/>
            <w:tcBorders/>
            <w:vAlign w:val="bottom"/>
          </w:tcPr>
          <w:p>
            <w:pPr>
              <w:pStyle w:val="TableContents"/>
              <w:bidi w:val="0"/>
              <w:spacing w:before="0" w:after="283"/>
              <w:jc w:val="left"/>
              <w:rPr/>
            </w:pPr>
            <w:r>
              <w:rPr/>
              <w:t>  </w:t>
            </w:r>
          </w:p>
        </w:tc>
        <w:tc>
          <w:tcPr>
            <w:tcW w:w="4210" w:type="dxa"/>
            <w:tcBorders/>
          </w:tcPr>
          <w:p>
            <w:pPr>
              <w:pStyle w:val="TableContents"/>
              <w:bidi w:val="0"/>
              <w:spacing w:before="0" w:after="283"/>
              <w:jc w:val="left"/>
              <w:rPr/>
            </w:pPr>
            <w:r>
              <w:rPr/>
              <w:t>Chief Executive Officer</w:t>
            </w:r>
          </w:p>
        </w:tc>
      </w:tr>
      <w:tr>
        <w:trPr/>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Alper Ilkbahar</w:t>
            </w:r>
          </w:p>
        </w:tc>
        <w:tc>
          <w:tcPr>
            <w:tcW w:w="12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58</w:t>
            </w:r>
          </w:p>
        </w:tc>
        <w:tc>
          <w:tcPr>
            <w:tcW w:w="219" w:type="dxa"/>
            <w:tcBorders/>
            <w:vAlign w:val="bottom"/>
          </w:tcPr>
          <w:p>
            <w:pPr>
              <w:pStyle w:val="TableContents"/>
              <w:bidi w:val="0"/>
              <w:spacing w:before="0" w:after="283"/>
              <w:jc w:val="left"/>
              <w:rPr/>
            </w:pPr>
            <w:r>
              <w:rPr/>
              <w:t>  </w:t>
            </w:r>
          </w:p>
        </w:tc>
        <w:tc>
          <w:tcPr>
            <w:tcW w:w="4210" w:type="dxa"/>
            <w:tcBorders/>
          </w:tcPr>
          <w:p>
            <w:pPr>
              <w:pStyle w:val="TableContents"/>
              <w:bidi w:val="0"/>
              <w:spacing w:before="0" w:after="283"/>
              <w:jc w:val="left"/>
              <w:rPr/>
            </w:pPr>
            <w:r>
              <w:rPr/>
              <w:t>Executive Vice President, Chief Technology Officer</w:t>
            </w:r>
          </w:p>
        </w:tc>
      </w:tr>
      <w:tr>
        <w:trPr/>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Luis F. Visoso</w:t>
            </w:r>
          </w:p>
        </w:tc>
        <w:tc>
          <w:tcPr>
            <w:tcW w:w="12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56</w:t>
            </w:r>
          </w:p>
        </w:tc>
        <w:tc>
          <w:tcPr>
            <w:tcW w:w="219" w:type="dxa"/>
            <w:tcBorders/>
            <w:vAlign w:val="bottom"/>
          </w:tcPr>
          <w:p>
            <w:pPr>
              <w:pStyle w:val="TableContents"/>
              <w:bidi w:val="0"/>
              <w:spacing w:before="0" w:after="283"/>
              <w:jc w:val="left"/>
              <w:rPr/>
            </w:pPr>
            <w:r>
              <w:rPr/>
              <w:t>  </w:t>
            </w:r>
          </w:p>
        </w:tc>
        <w:tc>
          <w:tcPr>
            <w:tcW w:w="4210" w:type="dxa"/>
            <w:tcBorders/>
          </w:tcPr>
          <w:p>
            <w:pPr>
              <w:pStyle w:val="TableContents"/>
              <w:bidi w:val="0"/>
              <w:spacing w:before="0" w:after="283"/>
              <w:jc w:val="left"/>
              <w:rPr/>
            </w:pPr>
            <w:r>
              <w:rPr/>
              <w:t>Executive Vice President, Chief Financial Officer</w:t>
            </w:r>
          </w:p>
        </w:tc>
      </w:tr>
      <w:tr>
        <w:trPr/>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Bernard Shek</w:t>
            </w:r>
          </w:p>
        </w:tc>
        <w:tc>
          <w:tcPr>
            <w:tcW w:w="120"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center"/>
              <w:rPr/>
            </w:pPr>
            <w:r>
              <w:rPr/>
              <w:t>52</w:t>
            </w:r>
          </w:p>
        </w:tc>
        <w:tc>
          <w:tcPr>
            <w:tcW w:w="219" w:type="dxa"/>
            <w:tcBorders/>
            <w:vAlign w:val="bottom"/>
          </w:tcPr>
          <w:p>
            <w:pPr>
              <w:pStyle w:val="TableContents"/>
              <w:bidi w:val="0"/>
              <w:spacing w:before="0" w:after="283"/>
              <w:jc w:val="left"/>
              <w:rPr/>
            </w:pPr>
            <w:r>
              <w:rPr/>
              <w:t>  </w:t>
            </w:r>
          </w:p>
        </w:tc>
        <w:tc>
          <w:tcPr>
            <w:tcW w:w="4210" w:type="dxa"/>
            <w:tcBorders/>
          </w:tcPr>
          <w:p>
            <w:pPr>
              <w:pStyle w:val="TableContents"/>
              <w:bidi w:val="0"/>
              <w:spacing w:before="0" w:after="283"/>
              <w:jc w:val="left"/>
              <w:rPr/>
            </w:pPr>
            <w:r>
              <w:rPr/>
              <w:t>Senior Vice President, Chief Legal Officer &amp;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Biographies </w:t>
      </w:r>
    </w:p>
    <w:p>
      <w:pPr>
        <w:pStyle w:val="TextBody"/>
        <w:bidi w:val="0"/>
        <w:spacing w:before="120" w:after="0"/>
        <w:jc w:val="left"/>
        <w:rPr>
          <w:rFonts w:ascii="Times New Roman" w:hAnsi="Times New Roman"/>
          <w:sz w:val="20"/>
        </w:rPr>
      </w:pPr>
      <w:r>
        <w:rPr>
          <w:rFonts w:ascii="Times New Roman" w:hAnsi="Times New Roman"/>
          <w:b/>
          <w:sz w:val="20"/>
        </w:rPr>
        <w:t>David V. Goeckeler</w:t>
      </w:r>
      <w:r>
        <w:rPr>
          <w:rFonts w:ascii="Times New Roman" w:hAnsi="Times New Roman"/>
          <w:sz w:val="20"/>
        </w:rPr>
        <w:t xml:space="preserve">. David V. Goeckeler is our Chief Executive Officer. Mr. Goeckeler served as the chief executive officer of WDC from March 2020 until the completion of the separation in February 2025. In addition, Mr. Goeckeler served as a member of the WDC board of directors until completion of the separation. Mr. Goeckeler previously served as executive vice president and general manager, networking and security, and in other senior leadership roles at Cisco Systems, Inc. from 2014 to March 2020. For additional biographical information for Mr. Goeckeler, please refer to the section titled DirectorsBiographies below. </w:t>
      </w:r>
    </w:p>
    <w:p>
      <w:pPr>
        <w:pStyle w:val="TextBody"/>
        <w:bidi w:val="0"/>
        <w:spacing w:before="240" w:after="0"/>
        <w:jc w:val="left"/>
        <w:rPr>
          <w:rFonts w:ascii="Times New Roman" w:hAnsi="Times New Roman"/>
          <w:sz w:val="20"/>
        </w:rPr>
      </w:pPr>
      <w:r>
        <w:rPr>
          <w:rFonts w:ascii="Times New Roman" w:hAnsi="Times New Roman"/>
          <w:b/>
          <w:sz w:val="20"/>
        </w:rPr>
        <w:t>Alper Ilkbahar</w:t>
      </w:r>
      <w:r>
        <w:rPr>
          <w:rFonts w:ascii="Times New Roman" w:hAnsi="Times New Roman"/>
          <w:sz w:val="20"/>
        </w:rPr>
        <w:t xml:space="preserve">. Alper Ilkbahar is our Executive Vice President, Chief Technology Officer. Mr. Ilkbahar served as senior vice president of global strategy and technology at WDC from February 2022 until the completion of the separation in February 2025. Prior to that, he was the vice president of data center group and general manager of the Intel Optane Group at Intel Corporation, from September 2016 to February 2022. Between 2006 and 2016 Mr. Ilkbahar was vice president and general manager of several business units at the prior SanDisk Corporation. Additionally, Mr. Ilkbahar serves as a member of the board of directors of the Global Semiconductor Alliance. Mr. Ilkbahar earned a bachelors degree in electrical engineering from Boğaziçi University in Istanbul, Turkey, a masters degree in electrical engineering from the University of Michigan, and an MBA degree from the Wharton School of the University of Pennsylvania. He holds more than 50 patents in the fields of semiconductor process, device, design and testing and has published multiple conference and journal papers in his areas of expertise. </w:t>
      </w:r>
    </w:p>
    <w:p>
      <w:pPr>
        <w:pStyle w:val="TextBody"/>
        <w:bidi w:val="0"/>
        <w:spacing w:before="240" w:after="0"/>
        <w:jc w:val="left"/>
        <w:rPr>
          <w:rFonts w:ascii="Times New Roman" w:hAnsi="Times New Roman"/>
          <w:sz w:val="20"/>
        </w:rPr>
      </w:pPr>
      <w:r>
        <w:rPr>
          <w:rFonts w:ascii="Times New Roman" w:hAnsi="Times New Roman"/>
          <w:b/>
          <w:sz w:val="20"/>
        </w:rPr>
        <w:t>Luis F. Visoso</w:t>
      </w:r>
      <w:r>
        <w:rPr>
          <w:rFonts w:ascii="Times New Roman" w:hAnsi="Times New Roman"/>
          <w:sz w:val="20"/>
        </w:rPr>
        <w:t xml:space="preserve">. Luis F. Visoso is our Executive Vice President, Chief Financial Officer. Mr. Visoso previously served as WDCs executive vice president and chief administrative officer from July 2024 until the completion of the separation in February 2025. Prior to his roles at WDC, Mr. Visoso served as executive vice president and chief financial officer of Unity Software Inc., a platform for creating and operating interactive, real-time 3D content, from March 2023 to July 2024 and senior vice president and chief financial officer from April 2021 to March 2023. Mr. Visoso previously served as chief financial officer of Palo Alto Networks from July 2020 to March 2021, and served in various roles at Amazon.com from December 2018 to July 2020, including as chief financial officer of Amazon Web Services. From 1993 to 2018, Mr. Visoso held various finance positions of increasing responsibility at Cisco Systems and The Proctor &amp; Gamble Company. </w:t>
      </w:r>
    </w:p>
    <w:p>
      <w:pPr>
        <w:pStyle w:val="TextBody"/>
        <w:bidi w:val="0"/>
        <w:spacing w:before="240" w:after="0"/>
        <w:jc w:val="left"/>
        <w:rPr>
          <w:rFonts w:ascii="Times New Roman" w:hAnsi="Times New Roman"/>
          <w:sz w:val="20"/>
        </w:rPr>
      </w:pPr>
      <w:r>
        <w:rPr>
          <w:rFonts w:ascii="Times New Roman" w:hAnsi="Times New Roman"/>
          <w:b/>
          <w:sz w:val="20"/>
        </w:rPr>
        <w:t>Bernard Shek</w:t>
      </w:r>
      <w:r>
        <w:rPr>
          <w:rFonts w:ascii="Times New Roman" w:hAnsi="Times New Roman"/>
          <w:sz w:val="20"/>
        </w:rPr>
        <w:t xml:space="preserve">. Bernard Shek is our Senior Vice President, Chief Legal Officer and Secretary. Mr. Shek previously served in various roles of increasing responsibility in WDCs legal department, including as senior vice president and deputy general counsel from October 2023 until the completion of the separation in February 2025, and vice president and deputy general counsel from 2018 to October 2023. Prior to that, Mr. Shek served as senior director and vice president of litigation at the prior SanDisk Corporation from 2011 to 2016. Mr. Shek also previously practiced law at Vinson and Elkins and Skadden, Arps, Slate, Meagher &amp; Flom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those persons who serve on our Board of Directors as of April 30, 2025, and is followed by biographies of each such director.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6"/>
        <w:gridCol w:w="120"/>
        <w:gridCol w:w="566"/>
        <w:gridCol w:w="216"/>
        <w:gridCol w:w="5727"/>
      </w:tblGrid>
      <w:tr>
        <w:trPr/>
        <w:tc>
          <w:tcPr>
            <w:tcW w:w="35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5727" w:type="dxa"/>
            <w:tcBorders/>
            <w:vAlign w:val="center"/>
          </w:tcPr>
          <w:p>
            <w:pPr>
              <w:pStyle w:val="TableContents"/>
              <w:bidi w:val="0"/>
              <w:spacing w:before="0" w:after="283"/>
              <w:jc w:val="left"/>
              <w:rPr>
                <w:sz w:val="4"/>
                <w:szCs w:val="4"/>
              </w:rPr>
            </w:pPr>
            <w:r>
              <w:rPr>
                <w:sz w:val="4"/>
                <w:szCs w:val="4"/>
              </w:rPr>
            </w:r>
          </w:p>
        </w:tc>
      </w:tr>
      <w:tr>
        <w:trPr/>
        <w:tc>
          <w:tcPr>
            <w:tcW w:w="357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66"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16" w:type="dxa"/>
            <w:tcBorders/>
            <w:vAlign w:val="bottom"/>
          </w:tcPr>
          <w:p>
            <w:pPr>
              <w:pStyle w:val="TableContents"/>
              <w:bidi w:val="0"/>
              <w:spacing w:before="0" w:after="283"/>
              <w:jc w:val="left"/>
              <w:rPr/>
            </w:pPr>
            <w:r>
              <w:rPr/>
              <w:t>  </w:t>
            </w:r>
          </w:p>
        </w:tc>
        <w:tc>
          <w:tcPr>
            <w:tcW w:w="57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3576" w:type="dxa"/>
            <w:tcBorders/>
          </w:tcPr>
          <w:p>
            <w:pPr>
              <w:pStyle w:val="TableContents"/>
              <w:bidi w:val="0"/>
              <w:spacing w:before="0" w:after="283"/>
              <w:jc w:val="left"/>
              <w:rPr/>
            </w:pPr>
            <w:r>
              <w:rPr/>
              <w:t>Kimberly E. Alexy</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54</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w:t>
            </w:r>
          </w:p>
        </w:tc>
      </w:tr>
      <w:tr>
        <w:trPr/>
        <w:tc>
          <w:tcPr>
            <w:tcW w:w="3576" w:type="dxa"/>
            <w:tcBorders/>
          </w:tcPr>
          <w:p>
            <w:pPr>
              <w:pStyle w:val="TableContents"/>
              <w:bidi w:val="0"/>
              <w:spacing w:before="0" w:after="283"/>
              <w:jc w:val="left"/>
              <w:rPr/>
            </w:pPr>
            <w:r>
              <w:rPr/>
              <w:t>Richard B. Cassidy II</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73</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w:t>
            </w:r>
          </w:p>
        </w:tc>
      </w:tr>
      <w:tr>
        <w:trPr/>
        <w:tc>
          <w:tcPr>
            <w:tcW w:w="3576" w:type="dxa"/>
            <w:tcBorders/>
          </w:tcPr>
          <w:p>
            <w:pPr>
              <w:pStyle w:val="TableContents"/>
              <w:bidi w:val="0"/>
              <w:spacing w:before="0" w:after="283"/>
              <w:jc w:val="left"/>
              <w:rPr/>
            </w:pPr>
            <w:r>
              <w:rPr/>
              <w:t>Thomas Caulfield</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66</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w:t>
            </w:r>
          </w:p>
        </w:tc>
      </w:tr>
      <w:tr>
        <w:trPr/>
        <w:tc>
          <w:tcPr>
            <w:tcW w:w="3576" w:type="dxa"/>
            <w:tcBorders/>
          </w:tcPr>
          <w:p>
            <w:pPr>
              <w:pStyle w:val="TableContents"/>
              <w:bidi w:val="0"/>
              <w:spacing w:before="0" w:after="283"/>
              <w:jc w:val="left"/>
              <w:rPr/>
            </w:pPr>
            <w:r>
              <w:rPr/>
              <w:t>David V. Goeckeler</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63</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 and Chief Executive Officer</w:t>
            </w:r>
          </w:p>
        </w:tc>
      </w:tr>
      <w:tr>
        <w:trPr/>
        <w:tc>
          <w:tcPr>
            <w:tcW w:w="3576" w:type="dxa"/>
            <w:tcBorders/>
          </w:tcPr>
          <w:p>
            <w:pPr>
              <w:pStyle w:val="TableContents"/>
              <w:bidi w:val="0"/>
              <w:spacing w:before="0" w:after="283"/>
              <w:jc w:val="left"/>
              <w:rPr/>
            </w:pPr>
            <w:r>
              <w:rPr/>
              <w:t>Devinder Kumar</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69</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w:t>
            </w:r>
          </w:p>
        </w:tc>
      </w:tr>
      <w:tr>
        <w:trPr/>
        <w:tc>
          <w:tcPr>
            <w:tcW w:w="3576" w:type="dxa"/>
            <w:tcBorders/>
          </w:tcPr>
          <w:p>
            <w:pPr>
              <w:pStyle w:val="TableContents"/>
              <w:bidi w:val="0"/>
              <w:spacing w:before="0" w:after="283"/>
              <w:jc w:val="left"/>
              <w:rPr/>
            </w:pPr>
            <w:r>
              <w:rPr/>
              <w:t>Matthew E. Massengill</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64</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Lead Independent Director</w:t>
            </w:r>
          </w:p>
        </w:tc>
      </w:tr>
      <w:tr>
        <w:trPr/>
        <w:tc>
          <w:tcPr>
            <w:tcW w:w="3576" w:type="dxa"/>
            <w:tcBorders/>
          </w:tcPr>
          <w:p>
            <w:pPr>
              <w:pStyle w:val="TableContents"/>
              <w:bidi w:val="0"/>
              <w:spacing w:before="0" w:after="283"/>
              <w:jc w:val="left"/>
              <w:rPr/>
            </w:pPr>
            <w:r>
              <w:rPr/>
              <w:t>Necip Sayiner</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59</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w:t>
            </w:r>
          </w:p>
        </w:tc>
      </w:tr>
      <w:tr>
        <w:trPr/>
        <w:tc>
          <w:tcPr>
            <w:tcW w:w="3576" w:type="dxa"/>
            <w:tcBorders/>
          </w:tcPr>
          <w:p>
            <w:pPr>
              <w:pStyle w:val="TableContents"/>
              <w:bidi w:val="0"/>
              <w:spacing w:before="0" w:after="283"/>
              <w:jc w:val="left"/>
              <w:rPr/>
            </w:pPr>
            <w:r>
              <w:rPr/>
              <w:t>Ellyn J. Shook</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61</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w:t>
            </w:r>
          </w:p>
        </w:tc>
      </w:tr>
      <w:tr>
        <w:trPr/>
        <w:tc>
          <w:tcPr>
            <w:tcW w:w="3576" w:type="dxa"/>
            <w:tcBorders/>
          </w:tcPr>
          <w:p>
            <w:pPr>
              <w:pStyle w:val="TableContents"/>
              <w:bidi w:val="0"/>
              <w:spacing w:before="0" w:after="283"/>
              <w:jc w:val="left"/>
              <w:rPr/>
            </w:pPr>
            <w:r>
              <w:rPr/>
              <w:t>Miyuki Suzuki</w:t>
            </w:r>
          </w:p>
        </w:tc>
        <w:tc>
          <w:tcPr>
            <w:tcW w:w="120" w:type="dxa"/>
            <w:tcBorders/>
            <w:vAlign w:val="bottom"/>
          </w:tcPr>
          <w:p>
            <w:pPr>
              <w:pStyle w:val="TableContents"/>
              <w:bidi w:val="0"/>
              <w:spacing w:before="0" w:after="283"/>
              <w:jc w:val="left"/>
              <w:rPr/>
            </w:pPr>
            <w:r>
              <w:rPr/>
              <w:t>  </w:t>
            </w:r>
          </w:p>
        </w:tc>
        <w:tc>
          <w:tcPr>
            <w:tcW w:w="566" w:type="dxa"/>
            <w:tcBorders/>
          </w:tcPr>
          <w:p>
            <w:pPr>
              <w:pStyle w:val="TableContents"/>
              <w:bidi w:val="0"/>
              <w:spacing w:before="0" w:after="283"/>
              <w:jc w:val="left"/>
              <w:rPr/>
            </w:pPr>
            <w:r>
              <w:rPr/>
              <w:t>64</w:t>
            </w:r>
          </w:p>
        </w:tc>
        <w:tc>
          <w:tcPr>
            <w:tcW w:w="216" w:type="dxa"/>
            <w:tcBorders/>
            <w:vAlign w:val="bottom"/>
          </w:tcPr>
          <w:p>
            <w:pPr>
              <w:pStyle w:val="TableContents"/>
              <w:bidi w:val="0"/>
              <w:spacing w:before="0" w:after="283"/>
              <w:jc w:val="left"/>
              <w:rPr/>
            </w:pPr>
            <w:r>
              <w:rPr/>
              <w:t>  </w:t>
            </w:r>
          </w:p>
        </w:tc>
        <w:tc>
          <w:tcPr>
            <w:tcW w:w="5727" w:type="dxa"/>
            <w:tcBorders/>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Biographies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9"/>
        <w:gridCol w:w="203"/>
        <w:gridCol w:w="4325"/>
        <w:gridCol w:w="203"/>
        <w:gridCol w:w="3935"/>
      </w:tblGrid>
      <w:tr>
        <w:trPr/>
        <w:tc>
          <w:tcPr>
            <w:tcW w:w="153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1539" w:type="dxa"/>
            <w:tcBorders/>
          </w:tcPr>
          <w:p>
            <w:pPr>
              <w:pStyle w:val="TableContents"/>
              <w:bidi w:val="0"/>
              <w:spacing w:before="0" w:after="283"/>
              <w:jc w:val="left"/>
              <w:rPr>
                <w:b/>
              </w:rPr>
            </w:pPr>
            <w:r>
              <w:rPr>
                <w:b/>
              </w:rPr>
              <w:t>KIMBERLY E. ALEXY, 54</w:t>
            </w:r>
          </w:p>
        </w:tc>
        <w:tc>
          <w:tcPr>
            <w:tcW w:w="203"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b/>
              </w:rPr>
            </w:pPr>
            <w:r>
              <w:rPr>
                <w:b/>
              </w:rPr>
              <w:t>SKILLS &amp; EXPERIENCE</w:t>
            </w:r>
          </w:p>
        </w:tc>
        <w:tc>
          <w:tcPr>
            <w:tcW w:w="203"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283"/>
              <w:jc w:val="left"/>
              <w:rPr>
                <w:b/>
              </w:rPr>
            </w:pPr>
            <w:r>
              <w:rPr>
                <w:b/>
              </w:rPr>
              <w:t>CAREER HIGHLIGHTS</w:t>
            </w:r>
          </w:p>
        </w:tc>
      </w:tr>
      <w:tr>
        <w:trPr/>
        <w:tc>
          <w:tcPr>
            <w:tcW w:w="1539"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0"/>
              <w:jc w:val="left"/>
              <w:rPr>
                <w:rFonts w:ascii="Times New Roman" w:hAnsi="Times New Roman"/>
                <w:sz w:val="20"/>
              </w:rPr>
            </w:pPr>
            <w:r>
              <w:rPr>
                <w:rFonts w:ascii="Times New Roman" w:hAnsi="Times New Roman"/>
                <w:sz w:val="20"/>
              </w:rPr>
              <w:t>  From her more than 25 years of experience in capital markets, corporate finance and investments across several financial institutions, Ms. Alexy brings to the Sandisk Board of Directors deep expertise in finance and first-hand transaction experience.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  Ms. Alexy also contributes her specialized knowledge of cybersecurity issues, which includes a CERT Certificate in Cybersecurity Oversight for corporate directors issued by the CERT Division of the Software Engineering Institute at Carnegie Mellon University, strengthening the Sandisk Board of Directors risk oversight function.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  Additionally, Ms. Alexy has a CFA designation, and her financial skills and prior experience qualify her as an audit committee financial expert under SEC rules. Her previous service on numerous public company boards of directors was instrumental in Ms. Alexys leadership in overseeing WDCs enterprise risk management program as Chair of the Audit Committee. Her experience provides the Sandisk Board of Directors with valuable insights and perspectives.</w:t>
            </w:r>
          </w:p>
        </w:tc>
        <w:tc>
          <w:tcPr>
            <w:tcW w:w="203" w:type="dxa"/>
            <w:tcBorders/>
            <w:vAlign w:val="bottom"/>
          </w:tcPr>
          <w:p>
            <w:pPr>
              <w:pStyle w:val="TableContents"/>
              <w:bidi w:val="0"/>
              <w:spacing w:before="0" w:after="283"/>
              <w:jc w:val="left"/>
              <w:rPr/>
            </w:pPr>
            <w:r>
              <w:rPr/>
              <w:t>  </w:t>
            </w:r>
          </w:p>
        </w:tc>
        <w:tc>
          <w:tcPr>
            <w:tcW w:w="3935"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Alexy Capital Management, </w:t>
            </w:r>
            <w:r>
              <w:rPr>
                <w:rFonts w:ascii="Times New Roman" w:hAnsi="Times New Roman"/>
                <w:sz w:val="20"/>
              </w:rPr>
              <w:t>a private investment fund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  Founder and principal (2005-present)</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Prudential Securities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  Senior vice president and managing director (1998-2003)</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Lehman Brothers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  Vice president of equity research (1995-1998)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326"/>
        <w:gridCol w:w="204"/>
        <w:gridCol w:w="4389"/>
        <w:gridCol w:w="203"/>
        <w:gridCol w:w="4083"/>
      </w:tblGrid>
      <w:tr>
        <w:trPr/>
        <w:tc>
          <w:tcPr>
            <w:tcW w:w="132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left"/>
              <w:rPr>
                <w:b/>
              </w:rPr>
            </w:pPr>
            <w:r>
              <w:rPr>
                <w:b/>
              </w:rPr>
              <w:t>OTHER PUBLIC BOARDS</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sz w:val="4"/>
                <w:szCs w:val="4"/>
              </w:rPr>
            </w:pPr>
            <w:r>
              <w:rPr>
                <w:sz w:val="4"/>
                <w:szCs w:val="4"/>
              </w:rPr>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  Western Digital Corporation</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  Five9,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  Mandiant, Inc.</w:t>
            </w:r>
          </w:p>
        </w:tc>
      </w:tr>
      <w:tr>
        <w:trPr/>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  Alteryx,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  FireEye</w:t>
            </w:r>
          </w:p>
        </w:tc>
      </w:tr>
      <w:tr>
        <w:trPr>
          <w:trHeight w:val="240" w:hRule="atLeast"/>
        </w:trPr>
        <w:tc>
          <w:tcPr>
            <w:tcW w:w="1326" w:type="dxa"/>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b/>
                <w:sz w:val="20"/>
              </w:rPr>
            </w:pPr>
            <w:r>
              <w:rPr>
                <w:rFonts w:ascii="Times New Roman" w:hAnsi="Times New Roman"/>
                <w:b/>
                <w:sz w:val="20"/>
              </w:rPr>
              <w:t>RICHARD B.</w:t>
            </w:r>
          </w:p>
          <w:p>
            <w:pPr>
              <w:pStyle w:val="TableContents"/>
              <w:bidi w:val="0"/>
              <w:spacing w:before="0" w:after="0"/>
              <w:jc w:val="left"/>
              <w:rPr>
                <w:rFonts w:ascii="Times New Roman" w:hAnsi="Times New Roman"/>
                <w:b/>
                <w:sz w:val="20"/>
              </w:rPr>
            </w:pPr>
            <w:r>
              <w:rPr>
                <w:rFonts w:ascii="Times New Roman" w:hAnsi="Times New Roman"/>
                <w:b/>
                <w:sz w:val="20"/>
              </w:rPr>
              <w:t>CASSIDY II,</w:t>
            </w:r>
          </w:p>
          <w:p>
            <w:pPr>
              <w:pStyle w:val="TableContents"/>
              <w:bidi w:val="0"/>
              <w:spacing w:before="0" w:after="20"/>
              <w:jc w:val="left"/>
              <w:rPr>
                <w:rFonts w:ascii="Times New Roman" w:hAnsi="Times New Roman"/>
                <w:b/>
                <w:sz w:val="20"/>
              </w:rPr>
            </w:pPr>
            <w:r>
              <w:rPr>
                <w:rFonts w:ascii="Times New Roman" w:hAnsi="Times New Roman"/>
                <w:b/>
                <w:sz w:val="20"/>
              </w:rPr>
              <w:t>73</w:t>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left"/>
              <w:rPr>
                <w:b/>
              </w:rPr>
            </w:pPr>
            <w:r>
              <w:rPr>
                <w:b/>
              </w:rPr>
              <w:t>SKILLS &amp; EXPERIENCE</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b/>
              </w:rPr>
            </w:pPr>
            <w:r>
              <w:rPr>
                <w:b/>
              </w:rPr>
              <w:t>CAREER HIGHLIGHTS</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  From his more than 45 years of experience in the semiconductor industry, including over 20 years in leadership roles, Mr. Cassidy brings to the Sandisk Board of Directors deep expertise in both the technical and business areas of the industry.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  Additionally, Mr. Cassidy is a board member of the Global Semiconductor Alliance, an organization dedicated to the advancement of the worldwide semiconductor industry.</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left"/>
              <w:rPr>
                <w:rFonts w:ascii="Times New Roman" w:hAnsi="Times New Roman"/>
                <w:sz w:val="20"/>
              </w:rPr>
            </w:pPr>
            <w:r>
              <w:rPr>
                <w:rFonts w:ascii="Times New Roman" w:hAnsi="Times New Roman"/>
                <w:b/>
                <w:sz w:val="20"/>
              </w:rPr>
              <w:t>Taiwan Semiconductor Manufacturing Company (TSMC), Arizona</w:t>
            </w:r>
            <w:r>
              <w:rPr>
                <w:rFonts w:ascii="Times New Roman" w:hAnsi="Times New Roman"/>
                <w:sz w:val="20"/>
              </w:rPr>
              <w:t>, an advanced semiconductor manufacturing fabrication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  Chairman, CEO and former president (January 2020-present)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 xml:space="preserve">TSMC Ltd., </w:t>
            </w:r>
            <w:r>
              <w:rPr>
                <w:rFonts w:ascii="Times New Roman" w:hAnsi="Times New Roman"/>
                <w:sz w:val="20"/>
              </w:rPr>
              <w:t>a multinational semiconductor manufacturing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  Senior vice president (2019-present)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  President and CEO, North America (2004-2018)</w:t>
            </w:r>
          </w:p>
        </w:tc>
      </w:tr>
      <w:tr>
        <w:trPr>
          <w:trHeight w:val="240" w:hRule="atLeast"/>
        </w:trPr>
        <w:tc>
          <w:tcPr>
            <w:tcW w:w="1326" w:type="dxa"/>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left"/>
              <w:rPr>
                <w:b/>
              </w:rPr>
            </w:pPr>
            <w:r>
              <w:rPr>
                <w:b/>
              </w:rPr>
              <w:t>OTHER PUBLIC BOARDS</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  None</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  None</w:t>
            </w:r>
          </w:p>
        </w:tc>
      </w:tr>
      <w:tr>
        <w:trPr>
          <w:trHeight w:val="240" w:hRule="atLeast"/>
        </w:trPr>
        <w:tc>
          <w:tcPr>
            <w:tcW w:w="1326" w:type="dxa"/>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0"/>
              <w:jc w:val="left"/>
              <w:rPr>
                <w:rFonts w:ascii="Times New Roman" w:hAnsi="Times New Roman"/>
                <w:b/>
                <w:sz w:val="20"/>
              </w:rPr>
            </w:pPr>
            <w:r>
              <w:rPr>
                <w:rFonts w:ascii="Times New Roman" w:hAnsi="Times New Roman"/>
                <w:b/>
                <w:sz w:val="20"/>
              </w:rPr>
              <w:t>THOMAS</w:t>
            </w:r>
          </w:p>
          <w:p>
            <w:pPr>
              <w:pStyle w:val="TableContents"/>
              <w:bidi w:val="0"/>
              <w:spacing w:before="0" w:after="0"/>
              <w:jc w:val="left"/>
              <w:rPr>
                <w:rFonts w:ascii="Times New Roman" w:hAnsi="Times New Roman"/>
                <w:b/>
                <w:sz w:val="20"/>
              </w:rPr>
            </w:pPr>
            <w:r>
              <w:rPr>
                <w:rFonts w:ascii="Times New Roman" w:hAnsi="Times New Roman"/>
                <w:b/>
                <w:sz w:val="20"/>
              </w:rPr>
              <w:t>CAULFIELD,</w:t>
            </w:r>
          </w:p>
          <w:p>
            <w:pPr>
              <w:pStyle w:val="TableContents"/>
              <w:bidi w:val="0"/>
              <w:spacing w:before="0" w:after="20"/>
              <w:jc w:val="left"/>
              <w:rPr>
                <w:rFonts w:ascii="Times New Roman" w:hAnsi="Times New Roman"/>
                <w:b/>
                <w:sz w:val="20"/>
              </w:rPr>
            </w:pPr>
            <w:r>
              <w:rPr>
                <w:rFonts w:ascii="Times New Roman" w:hAnsi="Times New Roman"/>
                <w:b/>
                <w:sz w:val="20"/>
              </w:rPr>
              <w:t>65</w:t>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left"/>
              <w:rPr>
                <w:b/>
              </w:rPr>
            </w:pPr>
            <w:r>
              <w:rPr>
                <w:b/>
              </w:rPr>
              <w:t>SKILLS &amp; EXPERIENCE</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b/>
              </w:rPr>
            </w:pPr>
            <w:r>
              <w:rPr>
                <w:b/>
              </w:rPr>
              <w:t>CAREER HIGHLIGHTS</w:t>
            </w:r>
          </w:p>
        </w:tc>
      </w:tr>
      <w:tr>
        <w:trPr>
          <w:trHeight w:val="120" w:hRule="atLeast"/>
        </w:trPr>
        <w:tc>
          <w:tcPr>
            <w:tcW w:w="1326" w:type="dxa"/>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  Having served as an executive in the technology industry for over 30 years, Dr. Caulfield brings crucial semiconductor technical and business expertise which enables the Sandisk Board of Directors to oversee strategies to drive innovation and unlock stockholder value.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  Dr. Caulfield has direct experience leading various aspects of global technology companies ranging from research and development, to supply chain, to sales.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  Dr. Caulfield brings public company board experience to the Sandisk Board of Directors.</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left"/>
              <w:rPr>
                <w:rFonts w:ascii="Times New Roman" w:hAnsi="Times New Roman"/>
                <w:sz w:val="20"/>
              </w:rPr>
            </w:pPr>
            <w:r>
              <w:rPr>
                <w:rFonts w:ascii="Times New Roman" w:hAnsi="Times New Roman"/>
                <w:b/>
                <w:sz w:val="20"/>
              </w:rPr>
              <w:t>GlobalFoundries Inc.,</w:t>
            </w:r>
            <w:r>
              <w:rPr>
                <w:rFonts w:ascii="Times New Roman" w:hAnsi="Times New Roman"/>
                <w:sz w:val="20"/>
              </w:rPr>
              <w:t xml:space="preserve"> a multinational semiconductor contract manufacturing and design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  CEO (2018-2025)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  Senior vice president and general manager, Fab 8 semiconductor wafer manufacturing facility (2014-2018)</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Soraa,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and chief operating officer (2012-2014)</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Caitin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  CEO (2010-2012)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47"/>
        <w:gridCol w:w="203"/>
        <w:gridCol w:w="4318"/>
        <w:gridCol w:w="203"/>
        <w:gridCol w:w="3834"/>
      </w:tblGrid>
      <w:tr>
        <w:trPr/>
        <w:tc>
          <w:tcPr>
            <w:tcW w:w="164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31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834" w:type="dxa"/>
            <w:tcBorders/>
            <w:vAlign w:val="center"/>
          </w:tcPr>
          <w:p>
            <w:pPr>
              <w:pStyle w:val="TableContents"/>
              <w:bidi w:val="0"/>
              <w:spacing w:before="0" w:after="283"/>
              <w:jc w:val="left"/>
              <w:rPr>
                <w:sz w:val="4"/>
                <w:szCs w:val="4"/>
              </w:rPr>
            </w:pPr>
            <w:r>
              <w:rPr>
                <w:sz w:val="4"/>
                <w:szCs w:val="4"/>
              </w:rPr>
            </w:r>
          </w:p>
        </w:tc>
      </w:tr>
      <w:tr>
        <w:trPr/>
        <w:tc>
          <w:tcPr>
            <w:tcW w:w="164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355" w:type="dxa"/>
            <w:gridSpan w:val="3"/>
            <w:tcBorders/>
            <w:vAlign w:val="bottom"/>
          </w:tcPr>
          <w:p>
            <w:pPr>
              <w:pStyle w:val="TableContents"/>
              <w:bidi w:val="0"/>
              <w:spacing w:before="0" w:after="283"/>
              <w:jc w:val="left"/>
              <w:rPr>
                <w:b/>
              </w:rPr>
            </w:pPr>
            <w:r>
              <w:rPr>
                <w:b/>
              </w:rPr>
              <w:t>OTHER PUBLIC BOARDS</w:t>
            </w:r>
          </w:p>
        </w:tc>
      </w:tr>
      <w:tr>
        <w:trPr>
          <w:trHeight w:val="120" w:hRule="atLeast"/>
        </w:trPr>
        <w:tc>
          <w:tcPr>
            <w:tcW w:w="1647" w:type="dxa"/>
            <w:tcBorders/>
            <w:vAlign w:val="center"/>
          </w:tcPr>
          <w:p>
            <w:pPr>
              <w:pStyle w:val="TableContents"/>
              <w:bidi w:val="0"/>
              <w:spacing w:before="0" w:after="283"/>
              <w:jc w:val="left"/>
              <w:rPr>
                <w:sz w:val="4"/>
                <w:szCs w:val="4"/>
              </w:rPr>
            </w:pPr>
            <w:r>
              <w:rPr>
                <w:sz w:val="4"/>
                <w:szCs w:val="4"/>
              </w:rPr>
            </w:r>
          </w:p>
        </w:tc>
        <w:tc>
          <w:tcPr>
            <w:tcW w:w="4521" w:type="dxa"/>
            <w:gridSpan w:val="2"/>
            <w:tcBorders/>
            <w:vAlign w:val="center"/>
          </w:tcPr>
          <w:p>
            <w:pPr>
              <w:pStyle w:val="TableContents"/>
              <w:bidi w:val="0"/>
              <w:spacing w:before="0" w:after="283"/>
              <w:jc w:val="left"/>
              <w:rPr>
                <w:sz w:val="4"/>
                <w:szCs w:val="4"/>
              </w:rPr>
            </w:pPr>
            <w:r>
              <w:rPr>
                <w:sz w:val="4"/>
                <w:szCs w:val="4"/>
              </w:rPr>
            </w:r>
          </w:p>
        </w:tc>
        <w:tc>
          <w:tcPr>
            <w:tcW w:w="4037" w:type="dxa"/>
            <w:gridSpan w:val="2"/>
            <w:tcBorders/>
            <w:vAlign w:val="center"/>
          </w:tcPr>
          <w:p>
            <w:pPr>
              <w:pStyle w:val="TableContents"/>
              <w:bidi w:val="0"/>
              <w:spacing w:before="0" w:after="283"/>
              <w:jc w:val="left"/>
              <w:rPr>
                <w:sz w:val="4"/>
                <w:szCs w:val="4"/>
              </w:rPr>
            </w:pPr>
            <w:r>
              <w:rPr>
                <w:sz w:val="4"/>
                <w:szCs w:val="4"/>
              </w:rPr>
            </w:r>
          </w:p>
        </w:tc>
      </w:tr>
      <w:tr>
        <w:trPr/>
        <w:tc>
          <w:tcPr>
            <w:tcW w:w="164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  GlobalFoundries Inc.</w:t>
            </w:r>
          </w:p>
        </w:tc>
        <w:tc>
          <w:tcPr>
            <w:tcW w:w="203" w:type="dxa"/>
            <w:tcBorders/>
            <w:vAlign w:val="bottom"/>
          </w:tcPr>
          <w:p>
            <w:pPr>
              <w:pStyle w:val="TableContents"/>
              <w:bidi w:val="0"/>
              <w:spacing w:before="0" w:after="283"/>
              <w:jc w:val="left"/>
              <w:rPr/>
            </w:pPr>
            <w:r>
              <w:rPr/>
              <w:t>  </w:t>
            </w:r>
          </w:p>
        </w:tc>
        <w:tc>
          <w:tcPr>
            <w:tcW w:w="38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  Western Digital Corporation</w:t>
            </w:r>
          </w:p>
        </w:tc>
      </w:tr>
      <w:tr>
        <w:trPr>
          <w:trHeight w:val="240" w:hRule="atLeast"/>
        </w:trPr>
        <w:tc>
          <w:tcPr>
            <w:tcW w:w="1647" w:type="dxa"/>
            <w:tcBorders/>
            <w:vAlign w:val="center"/>
          </w:tcPr>
          <w:p>
            <w:pPr>
              <w:pStyle w:val="TableContents"/>
              <w:bidi w:val="0"/>
              <w:spacing w:before="0" w:after="283"/>
              <w:jc w:val="left"/>
              <w:rPr>
                <w:sz w:val="4"/>
                <w:szCs w:val="4"/>
              </w:rPr>
            </w:pPr>
            <w:r>
              <w:rPr>
                <w:sz w:val="4"/>
                <w:szCs w:val="4"/>
              </w:rPr>
            </w:r>
          </w:p>
        </w:tc>
        <w:tc>
          <w:tcPr>
            <w:tcW w:w="4521" w:type="dxa"/>
            <w:gridSpan w:val="2"/>
            <w:tcBorders/>
            <w:vAlign w:val="center"/>
          </w:tcPr>
          <w:p>
            <w:pPr>
              <w:pStyle w:val="TableContents"/>
              <w:bidi w:val="0"/>
              <w:spacing w:before="0" w:after="283"/>
              <w:jc w:val="left"/>
              <w:rPr>
                <w:sz w:val="4"/>
                <w:szCs w:val="4"/>
              </w:rPr>
            </w:pPr>
            <w:r>
              <w:rPr>
                <w:sz w:val="4"/>
                <w:szCs w:val="4"/>
              </w:rPr>
            </w:r>
          </w:p>
        </w:tc>
        <w:tc>
          <w:tcPr>
            <w:tcW w:w="4037" w:type="dxa"/>
            <w:gridSpan w:val="2"/>
            <w:tcBorders/>
            <w:vAlign w:val="center"/>
          </w:tcPr>
          <w:p>
            <w:pPr>
              <w:pStyle w:val="TableContents"/>
              <w:bidi w:val="0"/>
              <w:spacing w:before="0" w:after="283"/>
              <w:jc w:val="left"/>
              <w:rPr>
                <w:sz w:val="4"/>
                <w:szCs w:val="4"/>
              </w:rPr>
            </w:pPr>
            <w:r>
              <w:rPr>
                <w:sz w:val="4"/>
                <w:szCs w:val="4"/>
              </w:rPr>
            </w:r>
          </w:p>
        </w:tc>
      </w:tr>
      <w:tr>
        <w:trPr/>
        <w:tc>
          <w:tcPr>
            <w:tcW w:w="1647" w:type="dxa"/>
            <w:vMerge w:val="restart"/>
            <w:tcBorders/>
          </w:tcPr>
          <w:p>
            <w:pPr>
              <w:pStyle w:val="TableContents"/>
              <w:bidi w:val="0"/>
              <w:spacing w:before="0" w:after="283"/>
              <w:jc w:val="left"/>
              <w:rPr>
                <w:b/>
              </w:rPr>
            </w:pPr>
            <w:r>
              <w:rPr>
                <w:b/>
              </w:rPr>
              <w:t>DAVID V. GOECKELER, 63 CHIEF EXECUTIVE OFFICER</w:t>
            </w:r>
          </w:p>
        </w:tc>
        <w:tc>
          <w:tcPr>
            <w:tcW w:w="203"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283"/>
              <w:jc w:val="left"/>
              <w:rPr>
                <w:b/>
              </w:rPr>
            </w:pPr>
            <w:r>
              <w:rPr>
                <w:b/>
              </w:rPr>
              <w:t>SKILLS &amp; EXPERIENCE</w:t>
            </w:r>
          </w:p>
        </w:tc>
        <w:tc>
          <w:tcPr>
            <w:tcW w:w="203" w:type="dxa"/>
            <w:tcBorders/>
            <w:vAlign w:val="bottom"/>
          </w:tcPr>
          <w:p>
            <w:pPr>
              <w:pStyle w:val="TableContents"/>
              <w:bidi w:val="0"/>
              <w:spacing w:before="0" w:after="283"/>
              <w:jc w:val="left"/>
              <w:rPr/>
            </w:pPr>
            <w:r>
              <w:rPr/>
              <w:t>  </w:t>
            </w:r>
          </w:p>
        </w:tc>
        <w:tc>
          <w:tcPr>
            <w:tcW w:w="3834" w:type="dxa"/>
            <w:tcBorders/>
          </w:tcPr>
          <w:p>
            <w:pPr>
              <w:pStyle w:val="TableContents"/>
              <w:bidi w:val="0"/>
              <w:spacing w:before="0" w:after="283"/>
              <w:jc w:val="left"/>
              <w:rPr>
                <w:b/>
              </w:rPr>
            </w:pPr>
            <w:r>
              <w:rPr>
                <w:b/>
              </w:rPr>
              <w:t>CAREER HIGHLIGHTS</w:t>
            </w:r>
          </w:p>
        </w:tc>
      </w:tr>
      <w:tr>
        <w:trPr/>
        <w:tc>
          <w:tcPr>
            <w:tcW w:w="1647" w:type="dxa"/>
            <w:vMerge w:val="continue"/>
            <w:tcBorders/>
          </w:tcPr>
          <w:p>
            <w:pPr>
              <w:pStyle w:val="Normal"/>
              <w:bidi w:val="0"/>
              <w:jc w:val="left"/>
              <w:rPr/>
            </w:pPr>
            <w:r>
              <w:rPr/>
            </w:r>
          </w:p>
        </w:tc>
        <w:tc>
          <w:tcPr>
            <w:tcW w:w="203"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  With more than 30 years of experience in the technology industry, Mr. Goeckeler has a proven ability to set and implement strategy of large, global technology franchises, including in his current position as Sandisks CEO.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  Mr. Goeckeler brings deep experience in technical and senior management positions, having previously positioned WDC, in his capacity as its CEO, to capitalize on opportunities in the shifting landscape through large-scale development projects and strategic acquisitions.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  His experience allows Mr. Goeckeler to lead and manage our day-to-day operations, while overseeing the strategic direction of Sandisk.</w:t>
            </w:r>
          </w:p>
        </w:tc>
        <w:tc>
          <w:tcPr>
            <w:tcW w:w="203" w:type="dxa"/>
            <w:tcBorders/>
            <w:vAlign w:val="bottom"/>
          </w:tcPr>
          <w:p>
            <w:pPr>
              <w:pStyle w:val="TableContents"/>
              <w:bidi w:val="0"/>
              <w:spacing w:before="0" w:after="283"/>
              <w:jc w:val="left"/>
              <w:rPr/>
            </w:pPr>
            <w:r>
              <w:rPr/>
              <w:t>  </w:t>
            </w:r>
          </w:p>
        </w:tc>
        <w:tc>
          <w:tcPr>
            <w:tcW w:w="383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Western Digital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  CEO (March 2020-February 2025)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Cisco Systems, Inc.,</w:t>
            </w:r>
            <w:r>
              <w:rPr>
                <w:rFonts w:ascii="Times New Roman" w:hAnsi="Times New Roman"/>
                <w:sz w:val="20"/>
              </w:rPr>
              <w:t xml:space="preserve"> a multinational technology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  Executive vice president and general manager, networking and security (2017-March 2020)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  Senior vice president and general manager, networking and security business group (2016-2017)</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  Senior vice president and general manager, security business (2014-2016)</w:t>
            </w:r>
          </w:p>
        </w:tc>
      </w:tr>
      <w:tr>
        <w:trPr/>
        <w:tc>
          <w:tcPr>
            <w:tcW w:w="1647" w:type="dxa"/>
            <w:vMerge w:val="continue"/>
            <w:tcBorders/>
          </w:tcPr>
          <w:p>
            <w:pPr>
              <w:pStyle w:val="Normal"/>
              <w:bidi w:val="0"/>
              <w:jc w:val="left"/>
              <w:rPr/>
            </w:pPr>
            <w:r>
              <w:rPr/>
            </w:r>
          </w:p>
        </w:tc>
        <w:tc>
          <w:tcPr>
            <w:tcW w:w="203"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OTHER PUBLIC BOARDS</w:t>
            </w:r>
          </w:p>
        </w:tc>
        <w:tc>
          <w:tcPr>
            <w:tcW w:w="203" w:type="dxa"/>
            <w:tcBorders/>
            <w:vAlign w:val="bottom"/>
          </w:tcPr>
          <w:p>
            <w:pPr>
              <w:pStyle w:val="TableContents"/>
              <w:bidi w:val="0"/>
              <w:spacing w:before="0" w:after="283"/>
              <w:jc w:val="left"/>
              <w:rPr/>
            </w:pPr>
            <w:r>
              <w:rPr/>
              <w:t>  </w:t>
            </w:r>
          </w:p>
        </w:tc>
        <w:tc>
          <w:tcPr>
            <w:tcW w:w="3834" w:type="dxa"/>
            <w:tcBorders/>
          </w:tcPr>
          <w:p>
            <w:pPr>
              <w:pStyle w:val="TableContents"/>
              <w:bidi w:val="0"/>
              <w:spacing w:before="0" w:after="283"/>
              <w:jc w:val="left"/>
              <w:rPr>
                <w:sz w:val="4"/>
                <w:szCs w:val="4"/>
              </w:rPr>
            </w:pPr>
            <w:r>
              <w:rPr>
                <w:sz w:val="4"/>
                <w:szCs w:val="4"/>
              </w:rPr>
            </w:r>
          </w:p>
        </w:tc>
      </w:tr>
      <w:tr>
        <w:trPr>
          <w:trHeight w:val="120" w:hRule="atLeast"/>
        </w:trPr>
        <w:tc>
          <w:tcPr>
            <w:tcW w:w="1647" w:type="dxa"/>
            <w:tcBorders/>
            <w:vAlign w:val="center"/>
          </w:tcPr>
          <w:p>
            <w:pPr>
              <w:pStyle w:val="TableContents"/>
              <w:bidi w:val="0"/>
              <w:spacing w:before="0" w:after="283"/>
              <w:jc w:val="left"/>
              <w:rPr>
                <w:sz w:val="4"/>
                <w:szCs w:val="4"/>
              </w:rPr>
            </w:pPr>
            <w:r>
              <w:rPr>
                <w:sz w:val="4"/>
                <w:szCs w:val="4"/>
              </w:rPr>
            </w:r>
          </w:p>
        </w:tc>
        <w:tc>
          <w:tcPr>
            <w:tcW w:w="4521" w:type="dxa"/>
            <w:gridSpan w:val="2"/>
            <w:tcBorders/>
            <w:vAlign w:val="center"/>
          </w:tcPr>
          <w:p>
            <w:pPr>
              <w:pStyle w:val="TableContents"/>
              <w:bidi w:val="0"/>
              <w:spacing w:before="0" w:after="283"/>
              <w:jc w:val="left"/>
              <w:rPr>
                <w:sz w:val="4"/>
                <w:szCs w:val="4"/>
              </w:rPr>
            </w:pPr>
            <w:r>
              <w:rPr>
                <w:sz w:val="4"/>
                <w:szCs w:val="4"/>
              </w:rPr>
            </w:r>
          </w:p>
        </w:tc>
        <w:tc>
          <w:tcPr>
            <w:tcW w:w="4037" w:type="dxa"/>
            <w:gridSpan w:val="2"/>
            <w:tcBorders/>
            <w:vAlign w:val="center"/>
          </w:tcPr>
          <w:p>
            <w:pPr>
              <w:pStyle w:val="TableContents"/>
              <w:bidi w:val="0"/>
              <w:spacing w:before="0" w:after="283"/>
              <w:jc w:val="left"/>
              <w:rPr>
                <w:sz w:val="4"/>
                <w:szCs w:val="4"/>
              </w:rPr>
            </w:pPr>
            <w:r>
              <w:rPr>
                <w:sz w:val="4"/>
                <w:szCs w:val="4"/>
              </w:rPr>
            </w:r>
          </w:p>
        </w:tc>
      </w:tr>
      <w:tr>
        <w:trPr/>
        <w:tc>
          <w:tcPr>
            <w:tcW w:w="164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  Automatic Data Processing, Inc.</w:t>
            </w:r>
          </w:p>
        </w:tc>
        <w:tc>
          <w:tcPr>
            <w:tcW w:w="203" w:type="dxa"/>
            <w:tcBorders/>
            <w:vAlign w:val="bottom"/>
          </w:tcPr>
          <w:p>
            <w:pPr>
              <w:pStyle w:val="TableContents"/>
              <w:bidi w:val="0"/>
              <w:spacing w:before="0" w:after="283"/>
              <w:jc w:val="left"/>
              <w:rPr/>
            </w:pPr>
            <w:r>
              <w:rPr/>
              <w:t>  </w:t>
            </w:r>
          </w:p>
        </w:tc>
        <w:tc>
          <w:tcPr>
            <w:tcW w:w="3834" w:type="dxa"/>
            <w:tcBorders/>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  Western Digital Corporation</w:t>
            </w:r>
          </w:p>
        </w:tc>
      </w:tr>
      <w:tr>
        <w:trPr>
          <w:trHeight w:val="195" w:hRule="atLeast"/>
        </w:trPr>
        <w:tc>
          <w:tcPr>
            <w:tcW w:w="1647" w:type="dxa"/>
            <w:tcBorders/>
            <w:vAlign w:val="center"/>
          </w:tcPr>
          <w:p>
            <w:pPr>
              <w:pStyle w:val="TableContents"/>
              <w:bidi w:val="0"/>
              <w:spacing w:before="0" w:after="283"/>
              <w:jc w:val="left"/>
              <w:rPr>
                <w:sz w:val="4"/>
                <w:szCs w:val="4"/>
              </w:rPr>
            </w:pPr>
            <w:r>
              <w:rPr>
                <w:sz w:val="4"/>
                <w:szCs w:val="4"/>
              </w:rPr>
            </w:r>
          </w:p>
        </w:tc>
        <w:tc>
          <w:tcPr>
            <w:tcW w:w="4521" w:type="dxa"/>
            <w:gridSpan w:val="2"/>
            <w:tcBorders/>
            <w:vAlign w:val="center"/>
          </w:tcPr>
          <w:p>
            <w:pPr>
              <w:pStyle w:val="TableContents"/>
              <w:bidi w:val="0"/>
              <w:spacing w:before="0" w:after="283"/>
              <w:jc w:val="left"/>
              <w:rPr>
                <w:sz w:val="4"/>
                <w:szCs w:val="4"/>
              </w:rPr>
            </w:pPr>
            <w:r>
              <w:rPr>
                <w:sz w:val="4"/>
                <w:szCs w:val="4"/>
              </w:rPr>
            </w:r>
          </w:p>
        </w:tc>
        <w:tc>
          <w:tcPr>
            <w:tcW w:w="4037" w:type="dxa"/>
            <w:gridSpan w:val="2"/>
            <w:tcBorders/>
            <w:vAlign w:val="center"/>
          </w:tcPr>
          <w:p>
            <w:pPr>
              <w:pStyle w:val="TableContents"/>
              <w:bidi w:val="0"/>
              <w:spacing w:before="0" w:after="283"/>
              <w:jc w:val="left"/>
              <w:rPr>
                <w:sz w:val="4"/>
                <w:szCs w:val="4"/>
              </w:rPr>
            </w:pPr>
            <w:r>
              <w:rPr>
                <w:sz w:val="4"/>
                <w:szCs w:val="4"/>
              </w:rPr>
            </w:r>
          </w:p>
        </w:tc>
      </w:tr>
      <w:tr>
        <w:trPr/>
        <w:tc>
          <w:tcPr>
            <w:tcW w:w="1647" w:type="dxa"/>
            <w:tcBorders/>
          </w:tcPr>
          <w:p>
            <w:pPr>
              <w:pStyle w:val="TableContents"/>
              <w:bidi w:val="0"/>
              <w:spacing w:before="0" w:after="283"/>
              <w:jc w:val="left"/>
              <w:rPr>
                <w:b/>
              </w:rPr>
            </w:pPr>
            <w:r>
              <w:rPr>
                <w:b/>
              </w:rPr>
              <w:t>DEVINDER KUMAR, 69</w:t>
            </w:r>
          </w:p>
        </w:tc>
        <w:tc>
          <w:tcPr>
            <w:tcW w:w="203"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283"/>
              <w:jc w:val="left"/>
              <w:rPr>
                <w:b/>
              </w:rPr>
            </w:pPr>
            <w:r>
              <w:rPr>
                <w:b/>
              </w:rPr>
              <w:t>SKILLS &amp; EXPERIENCE</w:t>
            </w:r>
          </w:p>
        </w:tc>
        <w:tc>
          <w:tcPr>
            <w:tcW w:w="203" w:type="dxa"/>
            <w:tcBorders/>
            <w:vAlign w:val="bottom"/>
          </w:tcPr>
          <w:p>
            <w:pPr>
              <w:pStyle w:val="TableContents"/>
              <w:bidi w:val="0"/>
              <w:spacing w:before="0" w:after="283"/>
              <w:jc w:val="left"/>
              <w:rPr/>
            </w:pPr>
            <w:r>
              <w:rPr/>
              <w:t>  </w:t>
            </w:r>
          </w:p>
        </w:tc>
        <w:tc>
          <w:tcPr>
            <w:tcW w:w="3834" w:type="dxa"/>
            <w:tcBorders/>
          </w:tcPr>
          <w:p>
            <w:pPr>
              <w:pStyle w:val="TableContents"/>
              <w:bidi w:val="0"/>
              <w:spacing w:before="0" w:after="283"/>
              <w:jc w:val="left"/>
              <w:rPr>
                <w:b/>
              </w:rPr>
            </w:pPr>
            <w:r>
              <w:rPr>
                <w:b/>
              </w:rPr>
              <w:t>CAREER HIGHLIGHTS</w:t>
            </w:r>
          </w:p>
        </w:tc>
      </w:tr>
      <w:tr>
        <w:trPr/>
        <w:tc>
          <w:tcPr>
            <w:tcW w:w="164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  Mr. Kumar has over 40 years of experience in the global semiconductor industry, including ten years as CFO and executive vice president of AMD Inc, a multinational semiconductor company. Mr. Kumar is currently chair of the audit committee of a public company. Mr. Kumar brings to the Sandisk Board of Directors expertise in financial management, global experience and driving shareholder value.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  Mr. Kumar has global experience spanning North America, Asia, Europe and the Middle East, including spending 10 years in Asia in various leadership positions for AMDs manufacturing group across Malaysia, Singapore, Thailand and China.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  Mr. Kumar brings public company board experience to the Sandisk Board of Directors.</w:t>
            </w:r>
          </w:p>
        </w:tc>
        <w:tc>
          <w:tcPr>
            <w:tcW w:w="203" w:type="dxa"/>
            <w:tcBorders/>
            <w:vAlign w:val="bottom"/>
          </w:tcPr>
          <w:p>
            <w:pPr>
              <w:pStyle w:val="TableContents"/>
              <w:bidi w:val="0"/>
              <w:spacing w:before="0" w:after="283"/>
              <w:jc w:val="left"/>
              <w:rPr/>
            </w:pPr>
            <w:r>
              <w:rPr/>
              <w:t>  </w:t>
            </w:r>
          </w:p>
        </w:tc>
        <w:tc>
          <w:tcPr>
            <w:tcW w:w="3834" w:type="dxa"/>
            <w:tcBorders/>
          </w:tcPr>
          <w:p>
            <w:pPr>
              <w:pStyle w:val="TableContents"/>
              <w:bidi w:val="0"/>
              <w:spacing w:before="0" w:after="0"/>
              <w:jc w:val="left"/>
              <w:rPr>
                <w:rFonts w:ascii="Times New Roman" w:hAnsi="Times New Roman"/>
                <w:sz w:val="20"/>
              </w:rPr>
            </w:pPr>
            <w:r>
              <w:rPr>
                <w:rFonts w:ascii="Times New Roman" w:hAnsi="Times New Roman"/>
                <w:b/>
                <w:sz w:val="20"/>
              </w:rPr>
              <w:t>AMD, Inc</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  CFO (2013-January 2023)</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  Treasurer (2015-January 2023)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  Corporate Controller (2001-2012)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718"/>
        <w:gridCol w:w="202"/>
        <w:gridCol w:w="4327"/>
        <w:gridCol w:w="202"/>
        <w:gridCol w:w="3756"/>
      </w:tblGrid>
      <w:tr>
        <w:trPr/>
        <w:tc>
          <w:tcPr>
            <w:tcW w:w="171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32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1718"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283"/>
              <w:jc w:val="left"/>
              <w:rPr>
                <w:b/>
              </w:rPr>
            </w:pPr>
            <w:r>
              <w:rPr>
                <w:b/>
              </w:rPr>
              <w:t>OTHER PUBLIC BOARDS</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283"/>
              <w:jc w:val="left"/>
              <w:rPr>
                <w:sz w:val="4"/>
                <w:szCs w:val="4"/>
              </w:rPr>
            </w:pPr>
            <w:r>
              <w:rPr>
                <w:sz w:val="4"/>
                <w:szCs w:val="4"/>
              </w:rPr>
            </w:r>
          </w:p>
        </w:tc>
      </w:tr>
      <w:tr>
        <w:trPr>
          <w:trHeight w:val="120" w:hRule="atLeast"/>
        </w:trPr>
        <w:tc>
          <w:tcPr>
            <w:tcW w:w="1718" w:type="dxa"/>
            <w:tcBorders/>
            <w:vAlign w:val="center"/>
          </w:tcPr>
          <w:p>
            <w:pPr>
              <w:pStyle w:val="TableContents"/>
              <w:bidi w:val="0"/>
              <w:spacing w:before="0" w:after="283"/>
              <w:jc w:val="left"/>
              <w:rPr>
                <w:sz w:val="4"/>
                <w:szCs w:val="4"/>
              </w:rPr>
            </w:pPr>
            <w:r>
              <w:rPr>
                <w:sz w:val="4"/>
                <w:szCs w:val="4"/>
              </w:rPr>
            </w:r>
          </w:p>
        </w:tc>
        <w:tc>
          <w:tcPr>
            <w:tcW w:w="4529" w:type="dxa"/>
            <w:gridSpan w:val="2"/>
            <w:tcBorders/>
            <w:vAlign w:val="center"/>
          </w:tcPr>
          <w:p>
            <w:pPr>
              <w:pStyle w:val="TableContents"/>
              <w:bidi w:val="0"/>
              <w:spacing w:before="0" w:after="283"/>
              <w:jc w:val="left"/>
              <w:rPr>
                <w:sz w:val="4"/>
                <w:szCs w:val="4"/>
              </w:rPr>
            </w:pPr>
            <w:r>
              <w:rPr>
                <w:sz w:val="4"/>
                <w:szCs w:val="4"/>
              </w:rPr>
            </w:r>
          </w:p>
        </w:tc>
        <w:tc>
          <w:tcPr>
            <w:tcW w:w="3958" w:type="dxa"/>
            <w:gridSpan w:val="2"/>
            <w:tcBorders/>
            <w:vAlign w:val="center"/>
          </w:tcPr>
          <w:p>
            <w:pPr>
              <w:pStyle w:val="TableContents"/>
              <w:bidi w:val="0"/>
              <w:spacing w:before="0" w:after="283"/>
              <w:jc w:val="left"/>
              <w:rPr>
                <w:sz w:val="4"/>
                <w:szCs w:val="4"/>
              </w:rPr>
            </w:pPr>
            <w:r>
              <w:rPr>
                <w:sz w:val="4"/>
                <w:szCs w:val="4"/>
              </w:rPr>
            </w:r>
          </w:p>
        </w:tc>
      </w:tr>
      <w:tr>
        <w:trPr/>
        <w:tc>
          <w:tcPr>
            <w:tcW w:w="1718"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  Ciena Corporation</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  None</w:t>
            </w:r>
          </w:p>
        </w:tc>
      </w:tr>
      <w:tr>
        <w:trPr>
          <w:trHeight w:val="240" w:hRule="atLeast"/>
        </w:trPr>
        <w:tc>
          <w:tcPr>
            <w:tcW w:w="1718" w:type="dxa"/>
            <w:tcBorders/>
            <w:vAlign w:val="center"/>
          </w:tcPr>
          <w:p>
            <w:pPr>
              <w:pStyle w:val="TableContents"/>
              <w:bidi w:val="0"/>
              <w:spacing w:before="0" w:after="283"/>
              <w:jc w:val="left"/>
              <w:rPr>
                <w:sz w:val="4"/>
                <w:szCs w:val="4"/>
              </w:rPr>
            </w:pPr>
            <w:r>
              <w:rPr>
                <w:sz w:val="4"/>
                <w:szCs w:val="4"/>
              </w:rPr>
            </w:r>
          </w:p>
        </w:tc>
        <w:tc>
          <w:tcPr>
            <w:tcW w:w="4529" w:type="dxa"/>
            <w:gridSpan w:val="2"/>
            <w:tcBorders/>
            <w:vAlign w:val="center"/>
          </w:tcPr>
          <w:p>
            <w:pPr>
              <w:pStyle w:val="TableContents"/>
              <w:bidi w:val="0"/>
              <w:spacing w:before="0" w:after="283"/>
              <w:jc w:val="left"/>
              <w:rPr>
                <w:sz w:val="4"/>
                <w:szCs w:val="4"/>
              </w:rPr>
            </w:pPr>
            <w:r>
              <w:rPr>
                <w:sz w:val="4"/>
                <w:szCs w:val="4"/>
              </w:rPr>
            </w:r>
          </w:p>
        </w:tc>
        <w:tc>
          <w:tcPr>
            <w:tcW w:w="3958" w:type="dxa"/>
            <w:gridSpan w:val="2"/>
            <w:tcBorders/>
            <w:vAlign w:val="center"/>
          </w:tcPr>
          <w:p>
            <w:pPr>
              <w:pStyle w:val="TableContents"/>
              <w:bidi w:val="0"/>
              <w:spacing w:before="0" w:after="283"/>
              <w:jc w:val="left"/>
              <w:rPr>
                <w:sz w:val="4"/>
                <w:szCs w:val="4"/>
              </w:rPr>
            </w:pPr>
            <w:r>
              <w:rPr>
                <w:sz w:val="4"/>
                <w:szCs w:val="4"/>
              </w:rPr>
            </w:r>
          </w:p>
        </w:tc>
      </w:tr>
      <w:tr>
        <w:trPr/>
        <w:tc>
          <w:tcPr>
            <w:tcW w:w="1718" w:type="dxa"/>
            <w:vMerge w:val="restart"/>
            <w:tcBorders/>
          </w:tcPr>
          <w:p>
            <w:pPr>
              <w:pStyle w:val="TableContents"/>
              <w:bidi w:val="0"/>
              <w:spacing w:before="0" w:after="283"/>
              <w:jc w:val="left"/>
              <w:rPr>
                <w:b/>
              </w:rPr>
            </w:pPr>
            <w:r>
              <w:rPr>
                <w:b/>
              </w:rPr>
              <w:t>MATTHEW E. MASSENGILL, 64</w:t>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283"/>
              <w:jc w:val="left"/>
              <w:rPr>
                <w:b/>
              </w:rPr>
            </w:pPr>
            <w:r>
              <w:rPr>
                <w:b/>
              </w:rPr>
              <w:t>SKILLS &amp; EXPERIENCE</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283"/>
              <w:jc w:val="left"/>
              <w:rPr>
                <w:b/>
              </w:rPr>
            </w:pPr>
            <w:r>
              <w:rPr>
                <w:b/>
              </w:rPr>
              <w:t>CAREER HIGHLIGHTS</w:t>
            </w:r>
          </w:p>
        </w:tc>
      </w:tr>
      <w:tr>
        <w:trPr/>
        <w:tc>
          <w:tcPr>
            <w:tcW w:w="1718" w:type="dxa"/>
            <w:vMerge w:val="continue"/>
            <w:tcBorders/>
          </w:tcPr>
          <w:p>
            <w:pPr>
              <w:pStyle w:val="Normal"/>
              <w:bidi w:val="0"/>
              <w:jc w:val="left"/>
              <w:rPr/>
            </w:pPr>
            <w:r>
              <w:rPr/>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  Mr. Massengill brings over 30 years of executive management and leadership experience, including as WDCs former CEO, President and COO, which will be instrumental to Sandisk Board of Directors role in overseeing achievement of strategic objectives and risk management.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  Mr. Massengill also has extensive background in various aspects of the global technology market and brings valuable insight into identification and mitigation of key risks faced by technology companies.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  His prior service on other public company boards enables Mr. Massengill to provide strong, independent leadership to the Sandisk Board of Directors.</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Western Digital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  Chair of the Board (2015-2025 and 2001-2007)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  CEO (2000-2005)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(2000-2002)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  Chief Operating Officer (1999-2000)</w:t>
            </w:r>
          </w:p>
        </w:tc>
      </w:tr>
      <w:tr>
        <w:trPr>
          <w:trHeight w:val="120" w:hRule="atLeast"/>
        </w:trPr>
        <w:tc>
          <w:tcPr>
            <w:tcW w:w="1718" w:type="dxa"/>
            <w:tcBorders/>
            <w:vAlign w:val="center"/>
          </w:tcPr>
          <w:p>
            <w:pPr>
              <w:pStyle w:val="TableContents"/>
              <w:bidi w:val="0"/>
              <w:spacing w:before="0" w:after="283"/>
              <w:jc w:val="left"/>
              <w:rPr>
                <w:sz w:val="4"/>
                <w:szCs w:val="4"/>
              </w:rPr>
            </w:pPr>
            <w:r>
              <w:rPr>
                <w:sz w:val="4"/>
                <w:szCs w:val="4"/>
              </w:rPr>
            </w:r>
          </w:p>
        </w:tc>
        <w:tc>
          <w:tcPr>
            <w:tcW w:w="4529" w:type="dxa"/>
            <w:gridSpan w:val="2"/>
            <w:tcBorders/>
            <w:vAlign w:val="center"/>
          </w:tcPr>
          <w:p>
            <w:pPr>
              <w:pStyle w:val="TableContents"/>
              <w:bidi w:val="0"/>
              <w:spacing w:before="0" w:after="283"/>
              <w:jc w:val="left"/>
              <w:rPr>
                <w:sz w:val="4"/>
                <w:szCs w:val="4"/>
              </w:rPr>
            </w:pPr>
            <w:r>
              <w:rPr>
                <w:sz w:val="4"/>
                <w:szCs w:val="4"/>
              </w:rPr>
            </w:r>
          </w:p>
        </w:tc>
        <w:tc>
          <w:tcPr>
            <w:tcW w:w="3958" w:type="dxa"/>
            <w:gridSpan w:val="2"/>
            <w:tcBorders/>
            <w:vAlign w:val="center"/>
          </w:tcPr>
          <w:p>
            <w:pPr>
              <w:pStyle w:val="TableContents"/>
              <w:bidi w:val="0"/>
              <w:spacing w:before="0" w:after="283"/>
              <w:jc w:val="left"/>
              <w:rPr>
                <w:sz w:val="4"/>
                <w:szCs w:val="4"/>
              </w:rPr>
            </w:pPr>
            <w:r>
              <w:rPr>
                <w:sz w:val="4"/>
                <w:szCs w:val="4"/>
              </w:rPr>
            </w:r>
          </w:p>
        </w:tc>
      </w:tr>
      <w:tr>
        <w:trPr/>
        <w:tc>
          <w:tcPr>
            <w:tcW w:w="1718"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283"/>
              <w:jc w:val="left"/>
              <w:rPr>
                <w:b/>
              </w:rPr>
            </w:pPr>
            <w:r>
              <w:rPr>
                <w:b/>
              </w:rPr>
              <w:t>OTHER PUBLIC BOARDS</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283"/>
              <w:jc w:val="left"/>
              <w:rPr>
                <w:sz w:val="4"/>
                <w:szCs w:val="4"/>
              </w:rPr>
            </w:pPr>
            <w:r>
              <w:rPr>
                <w:sz w:val="4"/>
                <w:szCs w:val="4"/>
              </w:rPr>
            </w:r>
          </w:p>
        </w:tc>
      </w:tr>
      <w:tr>
        <w:trPr/>
        <w:tc>
          <w:tcPr>
            <w:tcW w:w="1718"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  Western Digital Corporation</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  None</w:t>
            </w:r>
          </w:p>
        </w:tc>
      </w:tr>
      <w:tr>
        <w:trPr>
          <w:trHeight w:val="240" w:hRule="atLeast"/>
        </w:trPr>
        <w:tc>
          <w:tcPr>
            <w:tcW w:w="1718" w:type="dxa"/>
            <w:tcBorders/>
            <w:vAlign w:val="center"/>
          </w:tcPr>
          <w:p>
            <w:pPr>
              <w:pStyle w:val="TableContents"/>
              <w:bidi w:val="0"/>
              <w:spacing w:before="0" w:after="283"/>
              <w:jc w:val="left"/>
              <w:rPr>
                <w:sz w:val="4"/>
                <w:szCs w:val="4"/>
              </w:rPr>
            </w:pPr>
            <w:r>
              <w:rPr>
                <w:sz w:val="4"/>
                <w:szCs w:val="4"/>
              </w:rPr>
            </w:r>
          </w:p>
        </w:tc>
        <w:tc>
          <w:tcPr>
            <w:tcW w:w="4529" w:type="dxa"/>
            <w:gridSpan w:val="2"/>
            <w:tcBorders/>
            <w:vAlign w:val="center"/>
          </w:tcPr>
          <w:p>
            <w:pPr>
              <w:pStyle w:val="TableContents"/>
              <w:bidi w:val="0"/>
              <w:spacing w:before="0" w:after="283"/>
              <w:jc w:val="left"/>
              <w:rPr>
                <w:sz w:val="4"/>
                <w:szCs w:val="4"/>
              </w:rPr>
            </w:pPr>
            <w:r>
              <w:rPr>
                <w:sz w:val="4"/>
                <w:szCs w:val="4"/>
              </w:rPr>
            </w:r>
          </w:p>
        </w:tc>
        <w:tc>
          <w:tcPr>
            <w:tcW w:w="3958" w:type="dxa"/>
            <w:gridSpan w:val="2"/>
            <w:tcBorders/>
            <w:vAlign w:val="center"/>
          </w:tcPr>
          <w:p>
            <w:pPr>
              <w:pStyle w:val="TableContents"/>
              <w:bidi w:val="0"/>
              <w:spacing w:before="0" w:after="283"/>
              <w:jc w:val="left"/>
              <w:rPr>
                <w:sz w:val="4"/>
                <w:szCs w:val="4"/>
              </w:rPr>
            </w:pPr>
            <w:r>
              <w:rPr>
                <w:sz w:val="4"/>
                <w:szCs w:val="4"/>
              </w:rPr>
            </w:r>
          </w:p>
        </w:tc>
      </w:tr>
      <w:tr>
        <w:trPr/>
        <w:tc>
          <w:tcPr>
            <w:tcW w:w="1718" w:type="dxa"/>
            <w:tcBorders/>
          </w:tcPr>
          <w:p>
            <w:pPr>
              <w:pStyle w:val="TableContents"/>
              <w:bidi w:val="0"/>
              <w:spacing w:before="0" w:after="283"/>
              <w:jc w:val="left"/>
              <w:rPr>
                <w:b/>
              </w:rPr>
            </w:pPr>
            <w:r>
              <w:rPr>
                <w:b/>
              </w:rPr>
              <w:t>NECIP SAYINER, 59</w:t>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283"/>
              <w:jc w:val="left"/>
              <w:rPr>
                <w:b/>
              </w:rPr>
            </w:pPr>
            <w:r>
              <w:rPr>
                <w:b/>
              </w:rPr>
              <w:t>SKILLS &amp; EXPERIENCE</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283"/>
              <w:jc w:val="left"/>
              <w:rPr>
                <w:b/>
              </w:rPr>
            </w:pPr>
            <w:r>
              <w:rPr>
                <w:b/>
              </w:rPr>
              <w:t>CAREER HIGHLIGHTS</w:t>
            </w:r>
          </w:p>
        </w:tc>
      </w:tr>
      <w:tr>
        <w:trPr/>
        <w:tc>
          <w:tcPr>
            <w:tcW w:w="1718"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  Dr. Sayiner provides deep knowledge of the semiconductor industry from his prior experiences as a CEO and executive leader at several semiconductor companies.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  Dr. Sayiner also served as the chairman of the Semiconductor Industry Association, from 2015 to 2016, and as vice chairman from 2014 to 2015.</w:t>
            </w:r>
          </w:p>
        </w:tc>
        <w:tc>
          <w:tcPr>
            <w:tcW w:w="202" w:type="dxa"/>
            <w:tcBorders/>
            <w:vAlign w:val="bottom"/>
          </w:tcPr>
          <w:p>
            <w:pPr>
              <w:pStyle w:val="TableContents"/>
              <w:bidi w:val="0"/>
              <w:spacing w:before="0" w:after="283"/>
              <w:jc w:val="left"/>
              <w:rPr/>
            </w:pPr>
            <w:r>
              <w:rPr/>
              <w:t>  </w:t>
            </w:r>
          </w:p>
        </w:tc>
        <w:tc>
          <w:tcPr>
            <w:tcW w:w="3756" w:type="dxa"/>
            <w:tcBorders/>
          </w:tcPr>
          <w:p>
            <w:pPr>
              <w:pStyle w:val="TableContents"/>
              <w:bidi w:val="0"/>
              <w:spacing w:before="0" w:after="0"/>
              <w:jc w:val="left"/>
              <w:rPr>
                <w:rFonts w:ascii="Times New Roman" w:hAnsi="Times New Roman"/>
                <w:sz w:val="20"/>
              </w:rPr>
            </w:pPr>
            <w:r>
              <w:rPr>
                <w:rFonts w:ascii="Times New Roman" w:hAnsi="Times New Roman"/>
                <w:b/>
                <w:sz w:val="20"/>
              </w:rPr>
              <w:t>Renesas Electronics Corporation,</w:t>
            </w:r>
            <w:r>
              <w:rPr>
                <w:rFonts w:ascii="Times New Roman" w:hAnsi="Times New Roman"/>
                <w:sz w:val="20"/>
              </w:rPr>
              <w:t xml:space="preserve"> a provider of semiconductor solutions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  Executive vice president and general manager (2017-2019)</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Renesas Electronics America (2017-2019)</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Intersil Corporation,</w:t>
            </w:r>
            <w:r>
              <w:rPr>
                <w:rFonts w:ascii="Times New Roman" w:hAnsi="Times New Roman"/>
                <w:sz w:val="20"/>
              </w:rPr>
              <w:t xml:space="preserve"> a provider of power management and precision analog solutions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and CEO (2013-2017)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 xml:space="preserve">Silicon Laboratories Inc., </w:t>
            </w:r>
            <w:r>
              <w:rPr>
                <w:rFonts w:ascii="Times New Roman" w:hAnsi="Times New Roman"/>
                <w:sz w:val="20"/>
              </w:rPr>
              <w:t>a fabless global technology and semiconductor manufacturer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  President and CEO (2005-2012)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317"/>
        <w:gridCol w:w="204"/>
        <w:gridCol w:w="4430"/>
        <w:gridCol w:w="204"/>
        <w:gridCol w:w="4050"/>
      </w:tblGrid>
      <w:tr>
        <w:trPr/>
        <w:tc>
          <w:tcPr>
            <w:tcW w:w="131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4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31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430" w:type="dxa"/>
            <w:tcBorders/>
          </w:tcPr>
          <w:p>
            <w:pPr>
              <w:pStyle w:val="TableContents"/>
              <w:bidi w:val="0"/>
              <w:spacing w:before="0" w:after="283"/>
              <w:jc w:val="left"/>
              <w:rPr>
                <w:b/>
              </w:rPr>
            </w:pPr>
            <w:r>
              <w:rPr>
                <w:b/>
              </w:rPr>
              <w:t>OTHER PUBLIC BOARDS</w:t>
            </w:r>
          </w:p>
        </w:tc>
        <w:tc>
          <w:tcPr>
            <w:tcW w:w="204" w:type="dxa"/>
            <w:tcBorders/>
            <w:vAlign w:val="bottom"/>
          </w:tcPr>
          <w:p>
            <w:pPr>
              <w:pStyle w:val="TableContents"/>
              <w:bidi w:val="0"/>
              <w:spacing w:before="0" w:after="283"/>
              <w:jc w:val="left"/>
              <w:rPr/>
            </w:pPr>
            <w:r>
              <w:rPr/>
              <w:t>  </w:t>
            </w:r>
          </w:p>
        </w:tc>
        <w:tc>
          <w:tcPr>
            <w:tcW w:w="4050" w:type="dxa"/>
            <w:tcBorders/>
          </w:tcPr>
          <w:p>
            <w:pPr>
              <w:pStyle w:val="TableContents"/>
              <w:bidi w:val="0"/>
              <w:spacing w:before="0" w:after="283"/>
              <w:jc w:val="left"/>
              <w:rPr>
                <w:sz w:val="4"/>
                <w:szCs w:val="4"/>
              </w:rPr>
            </w:pPr>
            <w:r>
              <w:rPr>
                <w:sz w:val="4"/>
                <w:szCs w:val="4"/>
              </w:rPr>
            </w:r>
          </w:p>
        </w:tc>
      </w:tr>
      <w:tr>
        <w:trPr>
          <w:trHeight w:val="120" w:hRule="atLeast"/>
        </w:trPr>
        <w:tc>
          <w:tcPr>
            <w:tcW w:w="1317"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4254" w:type="dxa"/>
            <w:gridSpan w:val="2"/>
            <w:tcBorders/>
            <w:vAlign w:val="center"/>
          </w:tcPr>
          <w:p>
            <w:pPr>
              <w:pStyle w:val="TableContents"/>
              <w:bidi w:val="0"/>
              <w:spacing w:before="0" w:after="283"/>
              <w:jc w:val="left"/>
              <w:rPr>
                <w:sz w:val="4"/>
                <w:szCs w:val="4"/>
              </w:rPr>
            </w:pPr>
            <w:r>
              <w:rPr>
                <w:sz w:val="4"/>
                <w:szCs w:val="4"/>
              </w:rPr>
            </w:r>
          </w:p>
        </w:tc>
      </w:tr>
      <w:tr>
        <w:trPr/>
        <w:tc>
          <w:tcPr>
            <w:tcW w:w="131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430"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  Rambus,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  Axcelis Technologies, Inc.</w:t>
            </w:r>
          </w:p>
        </w:tc>
        <w:tc>
          <w:tcPr>
            <w:tcW w:w="204" w:type="dxa"/>
            <w:tcBorders/>
            <w:vAlign w:val="bottom"/>
          </w:tcPr>
          <w:p>
            <w:pPr>
              <w:pStyle w:val="TableContents"/>
              <w:bidi w:val="0"/>
              <w:spacing w:before="0" w:after="283"/>
              <w:jc w:val="left"/>
              <w:rPr/>
            </w:pPr>
            <w:r>
              <w:rPr/>
              <w:t>  </w:t>
            </w:r>
          </w:p>
        </w:tc>
        <w:tc>
          <w:tcPr>
            <w:tcW w:w="4050" w:type="dxa"/>
            <w:tcBorders/>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  Power Integrations, Inc.</w:t>
            </w:r>
          </w:p>
        </w:tc>
      </w:tr>
      <w:tr>
        <w:trPr>
          <w:trHeight w:val="240" w:hRule="atLeast"/>
        </w:trPr>
        <w:tc>
          <w:tcPr>
            <w:tcW w:w="1317"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4254" w:type="dxa"/>
            <w:gridSpan w:val="2"/>
            <w:tcBorders/>
            <w:vAlign w:val="center"/>
          </w:tcPr>
          <w:p>
            <w:pPr>
              <w:pStyle w:val="TableContents"/>
              <w:bidi w:val="0"/>
              <w:spacing w:before="0" w:after="283"/>
              <w:jc w:val="left"/>
              <w:rPr>
                <w:sz w:val="4"/>
                <w:szCs w:val="4"/>
              </w:rPr>
            </w:pPr>
            <w:r>
              <w:rPr>
                <w:sz w:val="4"/>
                <w:szCs w:val="4"/>
              </w:rPr>
            </w:r>
          </w:p>
        </w:tc>
      </w:tr>
      <w:tr>
        <w:trPr/>
        <w:tc>
          <w:tcPr>
            <w:tcW w:w="1317" w:type="dxa"/>
            <w:tcBorders/>
          </w:tcPr>
          <w:p>
            <w:pPr>
              <w:pStyle w:val="TableContents"/>
              <w:bidi w:val="0"/>
              <w:spacing w:before="0" w:after="283"/>
              <w:jc w:val="left"/>
              <w:rPr>
                <w:b/>
              </w:rPr>
            </w:pPr>
            <w:r>
              <w:rPr>
                <w:b/>
              </w:rPr>
              <w:t>ELLYN J. SHOOK, 61</w:t>
            </w:r>
          </w:p>
        </w:tc>
        <w:tc>
          <w:tcPr>
            <w:tcW w:w="204" w:type="dxa"/>
            <w:tcBorders/>
            <w:vAlign w:val="bottom"/>
          </w:tcPr>
          <w:p>
            <w:pPr>
              <w:pStyle w:val="TableContents"/>
              <w:bidi w:val="0"/>
              <w:spacing w:before="0" w:after="283"/>
              <w:jc w:val="left"/>
              <w:rPr/>
            </w:pPr>
            <w:r>
              <w:rPr/>
              <w:t>  </w:t>
            </w:r>
          </w:p>
        </w:tc>
        <w:tc>
          <w:tcPr>
            <w:tcW w:w="4430" w:type="dxa"/>
            <w:tcBorders/>
          </w:tcPr>
          <w:p>
            <w:pPr>
              <w:pStyle w:val="TableContents"/>
              <w:bidi w:val="0"/>
              <w:spacing w:before="0" w:after="283"/>
              <w:jc w:val="left"/>
              <w:rPr>
                <w:b/>
              </w:rPr>
            </w:pPr>
            <w:r>
              <w:rPr>
                <w:b/>
              </w:rPr>
              <w:t>SKILLS &amp; EXPERIENCE</w:t>
            </w:r>
          </w:p>
        </w:tc>
        <w:tc>
          <w:tcPr>
            <w:tcW w:w="204" w:type="dxa"/>
            <w:tcBorders/>
            <w:vAlign w:val="bottom"/>
          </w:tcPr>
          <w:p>
            <w:pPr>
              <w:pStyle w:val="TableContents"/>
              <w:bidi w:val="0"/>
              <w:spacing w:before="0" w:after="283"/>
              <w:jc w:val="left"/>
              <w:rPr/>
            </w:pPr>
            <w:r>
              <w:rPr/>
              <w:t>  </w:t>
            </w:r>
          </w:p>
        </w:tc>
        <w:tc>
          <w:tcPr>
            <w:tcW w:w="4050" w:type="dxa"/>
            <w:tcBorders/>
          </w:tcPr>
          <w:p>
            <w:pPr>
              <w:pStyle w:val="TableContents"/>
              <w:bidi w:val="0"/>
              <w:spacing w:before="0" w:after="283"/>
              <w:jc w:val="left"/>
              <w:rPr>
                <w:b/>
              </w:rPr>
            </w:pPr>
            <w:r>
              <w:rPr>
                <w:b/>
              </w:rPr>
              <w:t>CAREER HIGHLIGHTS</w:t>
            </w:r>
          </w:p>
        </w:tc>
      </w:tr>
      <w:tr>
        <w:trPr/>
        <w:tc>
          <w:tcPr>
            <w:tcW w:w="131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430" w:type="dxa"/>
            <w:tcBorders/>
          </w:tcPr>
          <w:p>
            <w:pPr>
              <w:pStyle w:val="TableContents"/>
              <w:bidi w:val="0"/>
              <w:spacing w:before="0" w:after="0"/>
              <w:jc w:val="left"/>
              <w:rPr>
                <w:rFonts w:ascii="Times New Roman" w:hAnsi="Times New Roman"/>
                <w:sz w:val="20"/>
              </w:rPr>
            </w:pPr>
            <w:r>
              <w:rPr>
                <w:rFonts w:ascii="Times New Roman" w:hAnsi="Times New Roman"/>
                <w:sz w:val="20"/>
              </w:rPr>
              <w:t>  Ms. Shook has nearly 37 years of experience in global leadership, talent and compensation strategy as the former chief leadership and human resources officer of a global organization and currently as chair of the compensation committee and member of the nominating and governance committee of a public company. Ms. Shook has also led large scale talent transformations across waves of technology disruptions and is a renowned thought leader, creating pioneering research on people and work.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  Ms. Shook also serves as an executive committee member of the Professional Roundtable of Chief Human Resources Officers and as a member of the board of directors of the National Academy of Human Resources.</w:t>
            </w:r>
          </w:p>
        </w:tc>
        <w:tc>
          <w:tcPr>
            <w:tcW w:w="204" w:type="dxa"/>
            <w:tcBorders/>
            <w:vAlign w:val="bottom"/>
          </w:tcPr>
          <w:p>
            <w:pPr>
              <w:pStyle w:val="TableContents"/>
              <w:bidi w:val="0"/>
              <w:spacing w:before="0" w:after="283"/>
              <w:jc w:val="left"/>
              <w:rPr/>
            </w:pPr>
            <w:r>
              <w:rPr/>
              <w:t>  </w:t>
            </w:r>
          </w:p>
        </w:tc>
        <w:tc>
          <w:tcPr>
            <w:tcW w:w="4050" w:type="dxa"/>
            <w:tcBorders/>
          </w:tcPr>
          <w:p>
            <w:pPr>
              <w:pStyle w:val="TableContents"/>
              <w:bidi w:val="0"/>
              <w:spacing w:before="0" w:after="0"/>
              <w:jc w:val="left"/>
              <w:rPr>
                <w:rFonts w:ascii="Times New Roman" w:hAnsi="Times New Roman"/>
                <w:sz w:val="20"/>
              </w:rPr>
            </w:pPr>
            <w:r>
              <w:rPr>
                <w:rFonts w:ascii="Times New Roman" w:hAnsi="Times New Roman"/>
                <w:b/>
                <w:sz w:val="20"/>
              </w:rPr>
              <w:t>Accenture plc.,</w:t>
            </w:r>
            <w:r>
              <w:rPr>
                <w:rFonts w:ascii="Times New Roman" w:hAnsi="Times New Roman"/>
                <w:sz w:val="20"/>
              </w:rPr>
              <w:t xml:space="preserve"> a global management consulting and professional services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  Chief leadership and human resources officer (2014-2024)</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  Senior managing director, human resources (2011-2014)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  Lead, global human resources (2004-2011)</w:t>
            </w:r>
          </w:p>
        </w:tc>
      </w:tr>
      <w:tr>
        <w:trPr>
          <w:trHeight w:val="120" w:hRule="atLeast"/>
        </w:trPr>
        <w:tc>
          <w:tcPr>
            <w:tcW w:w="1317"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4254" w:type="dxa"/>
            <w:gridSpan w:val="2"/>
            <w:tcBorders/>
            <w:vAlign w:val="center"/>
          </w:tcPr>
          <w:p>
            <w:pPr>
              <w:pStyle w:val="TableContents"/>
              <w:bidi w:val="0"/>
              <w:spacing w:before="0" w:after="283"/>
              <w:jc w:val="left"/>
              <w:rPr>
                <w:sz w:val="4"/>
                <w:szCs w:val="4"/>
              </w:rPr>
            </w:pPr>
            <w:r>
              <w:rPr>
                <w:sz w:val="4"/>
                <w:szCs w:val="4"/>
              </w:rPr>
            </w:r>
          </w:p>
        </w:tc>
      </w:tr>
      <w:tr>
        <w:trPr/>
        <w:tc>
          <w:tcPr>
            <w:tcW w:w="131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430" w:type="dxa"/>
            <w:tcBorders/>
          </w:tcPr>
          <w:p>
            <w:pPr>
              <w:pStyle w:val="TableContents"/>
              <w:bidi w:val="0"/>
              <w:spacing w:before="0" w:after="283"/>
              <w:jc w:val="left"/>
              <w:rPr>
                <w:b/>
              </w:rPr>
            </w:pPr>
            <w:r>
              <w:rPr>
                <w:b/>
              </w:rPr>
              <w:t>OTHER PUBLIC BOARDS</w:t>
            </w:r>
          </w:p>
        </w:tc>
        <w:tc>
          <w:tcPr>
            <w:tcW w:w="204" w:type="dxa"/>
            <w:tcBorders/>
            <w:vAlign w:val="bottom"/>
          </w:tcPr>
          <w:p>
            <w:pPr>
              <w:pStyle w:val="TableContents"/>
              <w:bidi w:val="0"/>
              <w:spacing w:before="0" w:after="283"/>
              <w:jc w:val="left"/>
              <w:rPr/>
            </w:pPr>
            <w:r>
              <w:rPr/>
              <w:t>  </w:t>
            </w:r>
          </w:p>
        </w:tc>
        <w:tc>
          <w:tcPr>
            <w:tcW w:w="4050" w:type="dxa"/>
            <w:tcBorders/>
          </w:tcPr>
          <w:p>
            <w:pPr>
              <w:pStyle w:val="TableContents"/>
              <w:bidi w:val="0"/>
              <w:spacing w:before="0" w:after="283"/>
              <w:jc w:val="left"/>
              <w:rPr>
                <w:sz w:val="4"/>
                <w:szCs w:val="4"/>
              </w:rPr>
            </w:pPr>
            <w:r>
              <w:rPr>
                <w:sz w:val="4"/>
                <w:szCs w:val="4"/>
              </w:rPr>
            </w:r>
          </w:p>
        </w:tc>
      </w:tr>
      <w:tr>
        <w:trPr>
          <w:trHeight w:val="120" w:hRule="atLeast"/>
        </w:trPr>
        <w:tc>
          <w:tcPr>
            <w:tcW w:w="1317"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4254" w:type="dxa"/>
            <w:gridSpan w:val="2"/>
            <w:tcBorders/>
            <w:vAlign w:val="center"/>
          </w:tcPr>
          <w:p>
            <w:pPr>
              <w:pStyle w:val="TableContents"/>
              <w:bidi w:val="0"/>
              <w:spacing w:before="0" w:after="283"/>
              <w:jc w:val="left"/>
              <w:rPr>
                <w:sz w:val="4"/>
                <w:szCs w:val="4"/>
              </w:rPr>
            </w:pPr>
            <w:r>
              <w:rPr>
                <w:sz w:val="4"/>
                <w:szCs w:val="4"/>
              </w:rPr>
            </w:r>
          </w:p>
        </w:tc>
      </w:tr>
      <w:tr>
        <w:trPr/>
        <w:tc>
          <w:tcPr>
            <w:tcW w:w="131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430"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Baldwin Group</w:t>
            </w:r>
          </w:p>
        </w:tc>
        <w:tc>
          <w:tcPr>
            <w:tcW w:w="204" w:type="dxa"/>
            <w:tcBorders/>
            <w:vAlign w:val="bottom"/>
          </w:tcPr>
          <w:p>
            <w:pPr>
              <w:pStyle w:val="TableContents"/>
              <w:bidi w:val="0"/>
              <w:spacing w:before="0" w:after="283"/>
              <w:jc w:val="left"/>
              <w:rPr/>
            </w:pPr>
            <w:r>
              <w:rPr/>
              <w:t>  </w:t>
            </w:r>
          </w:p>
        </w:tc>
        <w:tc>
          <w:tcPr>
            <w:tcW w:w="4050" w:type="dxa"/>
            <w:tcBorders/>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  None</w:t>
            </w:r>
          </w:p>
        </w:tc>
      </w:tr>
      <w:tr>
        <w:trPr>
          <w:trHeight w:val="240" w:hRule="atLeast"/>
        </w:trPr>
        <w:tc>
          <w:tcPr>
            <w:tcW w:w="1317" w:type="dxa"/>
            <w:tcBorders/>
            <w:vAlign w:val="center"/>
          </w:tcPr>
          <w:p>
            <w:pPr>
              <w:pStyle w:val="TableContents"/>
              <w:bidi w:val="0"/>
              <w:spacing w:before="0" w:after="283"/>
              <w:jc w:val="left"/>
              <w:rPr>
                <w:sz w:val="4"/>
                <w:szCs w:val="4"/>
              </w:rPr>
            </w:pPr>
            <w:r>
              <w:rPr>
                <w:sz w:val="4"/>
                <w:szCs w:val="4"/>
              </w:rPr>
            </w:r>
          </w:p>
        </w:tc>
        <w:tc>
          <w:tcPr>
            <w:tcW w:w="4634" w:type="dxa"/>
            <w:gridSpan w:val="2"/>
            <w:tcBorders/>
            <w:vAlign w:val="center"/>
          </w:tcPr>
          <w:p>
            <w:pPr>
              <w:pStyle w:val="TableContents"/>
              <w:bidi w:val="0"/>
              <w:spacing w:before="0" w:after="283"/>
              <w:jc w:val="left"/>
              <w:rPr>
                <w:sz w:val="4"/>
                <w:szCs w:val="4"/>
              </w:rPr>
            </w:pPr>
            <w:r>
              <w:rPr>
                <w:sz w:val="4"/>
                <w:szCs w:val="4"/>
              </w:rPr>
            </w:r>
          </w:p>
        </w:tc>
        <w:tc>
          <w:tcPr>
            <w:tcW w:w="4254" w:type="dxa"/>
            <w:gridSpan w:val="2"/>
            <w:tcBorders/>
            <w:vAlign w:val="center"/>
          </w:tcPr>
          <w:p>
            <w:pPr>
              <w:pStyle w:val="TableContents"/>
              <w:bidi w:val="0"/>
              <w:spacing w:before="0" w:after="283"/>
              <w:jc w:val="left"/>
              <w:rPr>
                <w:sz w:val="4"/>
                <w:szCs w:val="4"/>
              </w:rPr>
            </w:pPr>
            <w:r>
              <w:rPr>
                <w:sz w:val="4"/>
                <w:szCs w:val="4"/>
              </w:rPr>
            </w:r>
          </w:p>
        </w:tc>
      </w:tr>
      <w:tr>
        <w:trPr/>
        <w:tc>
          <w:tcPr>
            <w:tcW w:w="1317" w:type="dxa"/>
            <w:tcBorders/>
            <w:vAlign w:val="bottom"/>
          </w:tcPr>
          <w:p>
            <w:pPr>
              <w:pStyle w:val="TableContents"/>
              <w:bidi w:val="0"/>
              <w:spacing w:before="0" w:after="283"/>
              <w:jc w:val="left"/>
              <w:rPr>
                <w:b/>
              </w:rPr>
            </w:pPr>
            <w:r>
              <w:rPr>
                <w:b/>
              </w:rPr>
              <w:t>MIYUKI SUZUKI, 64</w:t>
            </w:r>
          </w:p>
        </w:tc>
        <w:tc>
          <w:tcPr>
            <w:tcW w:w="204"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b/>
              </w:rPr>
            </w:pPr>
            <w:r>
              <w:rPr>
                <w:b/>
              </w:rPr>
              <w:t>SKILLS &amp; EXPERIENCE</w:t>
            </w:r>
          </w:p>
        </w:tc>
        <w:tc>
          <w:tcPr>
            <w:tcW w:w="204" w:type="dxa"/>
            <w:tcBorders/>
            <w:vAlign w:val="bottom"/>
          </w:tcPr>
          <w:p>
            <w:pPr>
              <w:pStyle w:val="TableContents"/>
              <w:bidi w:val="0"/>
              <w:spacing w:before="0" w:after="283"/>
              <w:jc w:val="left"/>
              <w:rPr/>
            </w:pPr>
            <w:r>
              <w:rPr/>
              <w:t>  </w:t>
            </w:r>
          </w:p>
        </w:tc>
        <w:tc>
          <w:tcPr>
            <w:tcW w:w="4050" w:type="dxa"/>
            <w:tcBorders/>
            <w:vAlign w:val="bottom"/>
          </w:tcPr>
          <w:p>
            <w:pPr>
              <w:pStyle w:val="TableContents"/>
              <w:bidi w:val="0"/>
              <w:spacing w:before="0" w:after="283"/>
              <w:jc w:val="left"/>
              <w:rPr>
                <w:b/>
              </w:rPr>
            </w:pPr>
            <w:r>
              <w:rPr>
                <w:b/>
              </w:rPr>
              <w:t>CAREER HIGHLIGHTS</w:t>
            </w:r>
          </w:p>
        </w:tc>
      </w:tr>
      <w:tr>
        <w:trPr/>
        <w:tc>
          <w:tcPr>
            <w:tcW w:w="131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430" w:type="dxa"/>
            <w:tcBorders/>
          </w:tcPr>
          <w:p>
            <w:pPr>
              <w:pStyle w:val="TableContents"/>
              <w:bidi w:val="0"/>
              <w:spacing w:before="0" w:after="0"/>
              <w:jc w:val="left"/>
              <w:rPr>
                <w:rFonts w:ascii="Times New Roman" w:hAnsi="Times New Roman"/>
                <w:sz w:val="20"/>
              </w:rPr>
            </w:pPr>
            <w:r>
              <w:rPr>
                <w:rFonts w:ascii="Times New Roman" w:hAnsi="Times New Roman"/>
                <w:sz w:val="20"/>
              </w:rPr>
              <w:t>  Ms. Suzuki is a seasoned leader in the technology and telecommunications industries and contributes her comprehensive perspectives around the technology industry to the Sandisk Board of Directors.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  Ms. Suzuki also has deep global operations experience across the Asia Pacific region, which provides valuable insight to the Sandisk Board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  Ms. Suzuki has substantial governance experience as a public company director at Twilio, a global software company and private company board experience specific to Japan-based companies (Jera Co., Inc. and, previously, MetLife Japan).</w:t>
            </w:r>
          </w:p>
        </w:tc>
        <w:tc>
          <w:tcPr>
            <w:tcW w:w="204" w:type="dxa"/>
            <w:tcBorders/>
            <w:vAlign w:val="bottom"/>
          </w:tcPr>
          <w:p>
            <w:pPr>
              <w:pStyle w:val="TableContents"/>
              <w:bidi w:val="0"/>
              <w:spacing w:before="0" w:after="283"/>
              <w:jc w:val="left"/>
              <w:rPr/>
            </w:pPr>
            <w:r>
              <w:rPr/>
              <w:t>  </w:t>
            </w:r>
          </w:p>
        </w:tc>
        <w:tc>
          <w:tcPr>
            <w:tcW w:w="4050" w:type="dxa"/>
            <w:tcBorders/>
          </w:tcPr>
          <w:p>
            <w:pPr>
              <w:pStyle w:val="TableContents"/>
              <w:bidi w:val="0"/>
              <w:spacing w:before="0" w:after="0"/>
              <w:jc w:val="left"/>
              <w:rPr>
                <w:rFonts w:ascii="Times New Roman" w:hAnsi="Times New Roman"/>
                <w:b/>
                <w:sz w:val="20"/>
              </w:rPr>
            </w:pPr>
            <w:r>
              <w:rPr>
                <w:rFonts w:ascii="Times New Roman" w:hAnsi="Times New Roman"/>
                <w:b/>
                <w:sz w:val="20"/>
              </w:rPr>
              <w:t>Cisco Systems,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Asia Pacific, Japan and China (2018-February 2021)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and general manager, Japan (2015-2018)</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Jetstar Japan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and CEO (2011-2015)</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KVH (now Colt Technology Services)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  President and vice chairman (2007-2011)</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Lexis Nexis Asia Pacific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  President and CEO (2004-2006)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24"/>
        <w:gridCol w:w="204"/>
        <w:gridCol w:w="4388"/>
        <w:gridCol w:w="204"/>
        <w:gridCol w:w="4185"/>
      </w:tblGrid>
      <w:tr>
        <w:trPr/>
        <w:tc>
          <w:tcPr>
            <w:tcW w:w="122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38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777" w:type="dxa"/>
            <w:gridSpan w:val="3"/>
            <w:tcBorders/>
            <w:vAlign w:val="bottom"/>
          </w:tcPr>
          <w:p>
            <w:pPr>
              <w:pStyle w:val="TableContents"/>
              <w:bidi w:val="0"/>
              <w:spacing w:before="0" w:after="283"/>
              <w:jc w:val="left"/>
              <w:rPr>
                <w:b/>
              </w:rPr>
            </w:pPr>
            <w:r>
              <w:rPr>
                <w:b/>
              </w:rPr>
              <w:t>OTHER PUBLIC BOARDS</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4592"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3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  Twilio Inc.</w:t>
            </w:r>
          </w:p>
        </w:tc>
        <w:tc>
          <w:tcPr>
            <w:tcW w:w="204" w:type="dxa"/>
            <w:tcBorders/>
            <w:vAlign w:val="bottom"/>
          </w:tcPr>
          <w:p>
            <w:pPr>
              <w:pStyle w:val="TableContents"/>
              <w:bidi w:val="0"/>
              <w:spacing w:before="0" w:after="283"/>
              <w:jc w:val="left"/>
              <w:rPr/>
            </w:pPr>
            <w:r>
              <w:rPr/>
              <w:t>  </w:t>
            </w:r>
          </w:p>
        </w:tc>
        <w:tc>
          <w:tcPr>
            <w:tcW w:w="4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Past Five Years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  Western Digital Corporation</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currently comprised of nine directors and shall consist of such number of directors as determined from time to time solely by resolution of our Board of Directors. Each director will be elected annually by the stockholders at each annual meeting of stockholders for a term expiring at the next annual meeting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annually reviews the relationship that each director has with the Company. Following such annual review, only those directors who our Board of Directors affirmatively determines do not have a relationship which, in the opinion of our Board of Directors, would interfere with the exercise of independent judgment in carrying out the responsibilities of a director, under the listing standards of The Nasdaq Stock Market LLC, will be considered independent directors. Our Corporate Governance Guidelines adopt the definition of independence described in the director independence requirements for Nasdaq listed companies. In doing so, our Board of Directors takes into account certain factors listed in the Corporate Governance Guidelines and such other factors as it may deem relevant. A majority of our Board of Directors is comprised of independent directors. All directors, except Mr. Goeckeler, meet the independence requirements set forth in the listing standards of Nasdaq. There are no family relationships among any of our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four standing committees: an Audit Committee, a Compensation and Talent Committee, a Governance Committee and an Executive Committee. The principal functions of each committee are briefly described below. We comply with the listing requirements and other rules and regulations of Nasdaq, as amended or modified from time to time, with respect to each of these committees and each of these committees is comprised exclusively of independent directors, other than the Executive Committee. Additionally, our Board of Directors may, from time to time, establish other committees to facilitate the boards oversight of management of the business and affairs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Ms. Alexy, Mr. Cassidy and Mr. Kumar, with Ms. Alexy serving as the chair.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Audit Committee of the Board of Directors (Audit Committee) is to assist the Board of Directors in discharging its oversight responsibility by: (i) reviewing the integrity of the accounting and financial reporting processes of the Company and its subsidiaries and the audit of the Companys financial statements; (ii) overseeing the Companys compliance with legal and regulatory requirements; (iii) reviewing the independent accountants qualifications and independence; (iv) overseeing the performance of the Companys internal audit function and the Companys independent accountants; and (v) preparing the report required by the rules of the SEC to be included in the Companys annual proxy statement. Among other things, the Audit Committee also: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directly responsible for appointing, compensating and overseeing independent accountants, with input from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pre-approves all audit and non-audit services provided by our independent accountants;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annual and quarterly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adequacy of accounting and financial personnel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oversees and appoints our chief audit executive and review the internal audit plan and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discusses with management risk assessment and enterprise risk management policies, including risks related to financial reporting, accounting, internal controls, fraud, capital structure, legal and regulatory compliance and cybersecurity;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discusses with management the implementation of legal and regulatory requirements regarding public disclosure of topics covered by the corporate responsibility and sustainability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oversees our ethics and compliance program.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and Talent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Mr. Caulfield, Dr. Sayiner and Ms. Shook, with Ms. Shook serving as the chair.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Compensation and Talent Committee of the Board of Directors (Compensation and Talent Committee) is to (i) carry out responsibilities of the Board of Directors relating to the compensation of the Companys executives, (ii) produce the Compensation Committee Report for inclusion in the Companys annual report on Form 10-K and/or proxy statement, in accordance with applicable rules and regulations and (iii) periodically review the Companys people policies, programs and initiatives. The Compensation and Talent Committee communicates to our stockholders the Companys compensation philosophy, policy and programs. Among other things, the Compensation and Talent Committee also: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evaluates and approves executive officer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the Companys people programs and initiatives, including inclusion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makes recommendations on non-employee director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approves corporate goals and objectives for our Chief Executive Officers compensation and evaluates our Chief Executive Officers performance in light of those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oversees incentive and equity-based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makes changes to benefit plans or recommends changes to our Board of Directors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approves any compensation recovery (clawback) policy, or amendment to the policy, that is applicable to executive officers, and oversees and acts as administrator for such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approves stock ownership guidelines applicable to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oversees the Chief Executive Officer succession planning process and senior leadership development program.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Governance Committee consists of Dr. Sayiner, Mr. Massengill and Ms. Suzuki, with Mr. Massengill serving as the chair.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Governance Committee of the Board of Directors (Governance Committee) is to (i) develop and recommend to the Board of Directors a set of corporate governance principles applicable to the Company, (ii) identify individuals qualified to become members of the Board of Directors and, consistent with criteria approved by the Board of Directors, make recommendations to the Board of Directors regarding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candidates for membership on the Board of Directors, (iii) assist the Board of Directors in overseeing the Companys corporate responsibility and sustainability policies and programs and (iv) oversee the evaluation of the Board of Directors and management. Among other things, the Governance Committee also: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evaluates and recommends the size and composition of our Board of Directors and committees and functions of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develops and recommends our Board of Directors membership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identifies, evaluates and recommends director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corporate governance issues and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manages the annual Board of Directors and committee evaluation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reviews and oversees responses regarding stockholder proposals relating to corporate governance, corporate responsibility or sustainability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oversees the Companys political and lobbying strategy, activities and expenditures.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Committee consists of Mr. Goeckeler, Ms. Alexy, Mr. Massengill and Ms. Shook, with Mr. Goeckeler serving as the chair.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Executive Committee of the Board of Directors (Executive Committee) is to act on behalf of our Board of Directors between Board meetings. Among other things, the Executive Committee has the authority of the Board of Directors in management of our business affairs in between meetings of the Board of Directors, subject to and including, but not limited to, applicable law or the rules and regulations of the SEC or the Nasdaq Stock Market and specific directions given by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our fiscal year ended June 28, 2024, we were not yet incorporated for the full fiscal year, were not an independent company and did not have a Compensation and Talent Committee or any other committee serving a similar function. Decisions as to the compensation of those who will serve as our executive officers were made by WDC, as described in the section of this prospectus entitled Executive CompensationCompensation Discussion and Analysis.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34557_14"/>
      <w:bookmarkEnd w:id="16"/>
      <w:r>
        <w:rPr>
          <w:rFonts w:ascii="Times New Roman" w:hAnsi="Times New Roman"/>
          <w:b/>
          <w:sz w:val="20"/>
        </w:rPr>
        <w:t xml:space="preserve">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21, 2025, Sandisk Corporation became an independent publicly traded company as a result of its separation from WDC. Therefore, none of our directors received compensation from Sandisk for fiscal year 2024, and only certain of our non-employee directors, who served on the WDC Board of Directors prior to February 21, 2025, received compensation under WDCs director compensation program for fiscal year 2024, which is described in further detail below. WDCs non-employee director compensation program is designed to provide competitive compensation that is necessary to attract and retain qualified non-management directors. WDCs annual non-employee director compensation program consists of a cash retainer and equity compensation in the form of restricted stock units (the RSUs or individually, an RSU). Management directors do not receive compensation for their service as director. Our non-employee director compensation program going forward is substantially similar to that of WDCs prior to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WDC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section describes the elements and other features of WDCs director compensation program for fiscal 2024 for non-employee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Fiscal 2024 Non-Employee Director Cash Retainer Fees </w:t>
      </w:r>
    </w:p>
    <w:p>
      <w:pPr>
        <w:pStyle w:val="TextBody"/>
        <w:bidi w:val="0"/>
        <w:spacing w:before="120" w:after="0"/>
        <w:jc w:val="left"/>
        <w:rPr>
          <w:rFonts w:ascii="Times New Roman" w:hAnsi="Times New Roman"/>
          <w:sz w:val="20"/>
        </w:rPr>
      </w:pPr>
      <w:r>
        <w:rPr>
          <w:rFonts w:ascii="Times New Roman" w:hAnsi="Times New Roman"/>
          <w:sz w:val="20"/>
        </w:rPr>
        <w:t xml:space="preserve">Cash retainer fees are paid to WDCs non-employee directors based on WDC Board of Directors and committee service from annual meeting to annual meeting and are paid in a lump sum immediately following the annual meeting marking the start of the year. The following table sets forth the schedule of annual cash retainer and committee membership fees for its non-employee directors for fiscal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13"/>
        <w:gridCol w:w="754"/>
        <w:gridCol w:w="146"/>
        <w:gridCol w:w="1964"/>
        <w:gridCol w:w="62"/>
      </w:tblGrid>
      <w:tr>
        <w:trPr/>
        <w:tc>
          <w:tcPr>
            <w:tcW w:w="4013"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Fee</w:t>
            </w:r>
          </w:p>
        </w:tc>
        <w:tc>
          <w:tcPr>
            <w:tcW w:w="754" w:type="dxa"/>
            <w:tcBorders/>
            <w:vAlign w:val="bottom"/>
          </w:tcPr>
          <w:p>
            <w:pPr>
              <w:pStyle w:val="TableContents"/>
              <w:bidi w:val="0"/>
              <w:spacing w:before="0" w:after="283"/>
              <w:jc w:val="left"/>
              <w:rPr/>
            </w:pPr>
            <w:r>
              <w:rPr/>
              <w:t>  </w:t>
            </w:r>
          </w:p>
        </w:tc>
        <w:tc>
          <w:tcPr>
            <w:tcW w:w="2110" w:type="dxa"/>
            <w:gridSpan w:val="2"/>
            <w:tcBorders>
              <w:bottom w:val="single" w:sz="8" w:space="0" w:color="000000"/>
            </w:tcBorders>
            <w:tcMar>
              <w:bottom w:w="28" w:type="dxa"/>
            </w:tcMar>
            <w:vAlign w:val="bottom"/>
          </w:tcPr>
          <w:p>
            <w:pPr>
              <w:pStyle w:val="TableContents"/>
              <w:bidi w:val="0"/>
              <w:spacing w:before="0" w:after="283"/>
              <w:jc w:val="center"/>
              <w:rPr/>
            </w:pPr>
            <w:r>
              <w:rPr>
                <w:b/>
              </w:rPr>
              <w:t>Current Annual Fee</w:t>
            </w:r>
            <w:r>
              <w:rPr/>
              <w:br/>
            </w:r>
            <w:r>
              <w:rPr>
                <w:b/>
              </w:rPr>
              <w:t>($)</w:t>
            </w:r>
          </w:p>
        </w:tc>
        <w:tc>
          <w:tcPr>
            <w:tcW w:w="62"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Annual Retainer</w:t>
            </w:r>
          </w:p>
        </w:tc>
        <w:tc>
          <w:tcPr>
            <w:tcW w:w="7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85,000</w:t>
            </w:r>
          </w:p>
        </w:tc>
        <w:tc>
          <w:tcPr>
            <w:tcW w:w="62"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Non-Employee Chair of the Board Retainer</w:t>
            </w:r>
          </w:p>
        </w:tc>
        <w:tc>
          <w:tcPr>
            <w:tcW w:w="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100,000</w:t>
            </w:r>
          </w:p>
        </w:tc>
        <w:tc>
          <w:tcPr>
            <w:tcW w:w="62"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Committee Member Retainers:</w:t>
            </w:r>
          </w:p>
        </w:tc>
        <w:tc>
          <w:tcPr>
            <w:tcW w:w="7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96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15,000</w:t>
            </w:r>
          </w:p>
        </w:tc>
        <w:tc>
          <w:tcPr>
            <w:tcW w:w="62"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and Talent Committee</w:t>
            </w:r>
          </w:p>
        </w:tc>
        <w:tc>
          <w:tcPr>
            <w:tcW w:w="7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12,500</w:t>
            </w:r>
          </w:p>
        </w:tc>
        <w:tc>
          <w:tcPr>
            <w:tcW w:w="62"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Governance Committee</w:t>
            </w:r>
          </w:p>
        </w:tc>
        <w:tc>
          <w:tcPr>
            <w:tcW w:w="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10,000</w:t>
            </w:r>
          </w:p>
        </w:tc>
        <w:tc>
          <w:tcPr>
            <w:tcW w:w="62"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Committee Chair Retainers:</w:t>
            </w:r>
          </w:p>
        </w:tc>
        <w:tc>
          <w:tcPr>
            <w:tcW w:w="7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96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25,000</w:t>
            </w:r>
          </w:p>
        </w:tc>
        <w:tc>
          <w:tcPr>
            <w:tcW w:w="62"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and Talent Committee</w:t>
            </w:r>
          </w:p>
        </w:tc>
        <w:tc>
          <w:tcPr>
            <w:tcW w:w="75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4" w:type="dxa"/>
            <w:tcBorders/>
            <w:shd w:fill="CCEEFF" w:val="clear"/>
            <w:vAlign w:val="bottom"/>
          </w:tcPr>
          <w:p>
            <w:pPr>
              <w:pStyle w:val="TableContents"/>
              <w:bidi w:val="0"/>
              <w:spacing w:before="0" w:after="283"/>
              <w:jc w:val="right"/>
              <w:rPr/>
            </w:pPr>
            <w:r>
              <w:rPr/>
              <w:t>22,500</w:t>
            </w:r>
          </w:p>
        </w:tc>
        <w:tc>
          <w:tcPr>
            <w:tcW w:w="62"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Governance Committee</w:t>
            </w:r>
          </w:p>
        </w:tc>
        <w:tc>
          <w:tcPr>
            <w:tcW w:w="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4" w:type="dxa"/>
            <w:tcBorders/>
            <w:vAlign w:val="bottom"/>
          </w:tcPr>
          <w:p>
            <w:pPr>
              <w:pStyle w:val="TableContents"/>
              <w:bidi w:val="0"/>
              <w:spacing w:before="0" w:after="283"/>
              <w:jc w:val="right"/>
              <w:rPr/>
            </w:pPr>
            <w:r>
              <w:rPr/>
              <w:t>15,000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WDCs non-employee director compensation program, a non-employee director serving as Chair of the Board committee receives both the Additional Committee Chair Retainer and the Additional Committee Member Retainer for that committee. Non-employee directors who are appointed to the WDC Board of Directors, a WDC Board of Directors committee, or to one of the Chair positions noted above during the year are paid a pro rata amount of the annual retainer fees for that position based on service to be rendered for the remaining part of the year after appointment. WDCs non-employee directors do not receive a separate fee for each board or committee meeting they attend. WDC reimburses its non-employee directors for reasonable out-of-pocket expenses incurred to attend each board or committee meeting.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initial slate of Sandisk non-employee directors, members of the WDC Board of Directors who were appointed to the Sandisk Board of Directors (Ms. Alexy, Mr. Caulfield, Mr. Massengill and Ms. Suzuki)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a pro rata amount of the annual retainer fees based on service to be rendered for the remaining part of fiscal year 2025 after appointment. Mr. Cassidy, Mr. Kumar, Mr. Sayiner and Ms. Shook received full annual cash retainer fees.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Equity Awards </w:t>
      </w:r>
    </w:p>
    <w:p>
      <w:pPr>
        <w:pStyle w:val="TextBody"/>
        <w:bidi w:val="0"/>
        <w:spacing w:before="240" w:after="0"/>
        <w:jc w:val="left"/>
        <w:rPr>
          <w:rFonts w:ascii="Times New Roman" w:hAnsi="Times New Roman"/>
          <w:sz w:val="20"/>
        </w:rPr>
      </w:pPr>
      <w:r>
        <w:rPr>
          <w:rFonts w:ascii="Times New Roman" w:hAnsi="Times New Roman"/>
          <w:sz w:val="20"/>
        </w:rPr>
        <w:t xml:space="preserve">Under the WDC Non-Employee Director Restricted Stock Unit Grant Program, each of its non-employee directors automatically received for fiscal 2024 an award of RSUs equal in value to $240,000 (or, in the case of its non-employee director serving as Chair of the Board, $290,000, or, in the case of its Lead Independent Director, $280,000). WDCs non-employee directors receive these awards immediately following the annual meeting of stockholders if he or she has been re-elected as a director at that meeting. In the case of a non-employee director who is newly elected or appointed after the date of the annual meeting, WDC grants a prorated award of RSUs for the year in which he or she is elected or appointed. Pursuant to its Non-Employee Director Restricted Stock Unit Grant Program, a non-employee director who was serving on the WDC Board pursuant to an investors contractual right received a cash award in lieu of RSUs. The amount of a cash award granted in lieu of RSUs is equal to the value of RSUs that the recipient would otherwise have been entitled to receive. The RSUs and cash awards granted in fiscal 2024 vested 100% upon the earlier of: (i) November 15, 2024 (the first anniversary of the grant date); and (ii) immediately prior to the first annual meeting of stockholders held after the grant date. With respect to the initial slate of Sandisk non-employee directors, each director received a prorated RSU award. In connection with our separation from WDC, each of the Sandisk non-employee directors received a prorated RSU award from Sandisk, with the award amounts determined based on the same award values used for WDCs Non-Employee Director Restricted Stock Unit Grant Program. </w:t>
      </w:r>
    </w:p>
    <w:p>
      <w:pPr>
        <w:pStyle w:val="TextBody"/>
        <w:bidi w:val="0"/>
        <w:spacing w:before="360" w:after="0"/>
        <w:jc w:val="left"/>
        <w:rPr>
          <w:rFonts w:ascii="Times New Roman" w:hAnsi="Times New Roman"/>
          <w:b/>
          <w:sz w:val="20"/>
        </w:rPr>
      </w:pPr>
      <w:r>
        <w:rPr>
          <w:rFonts w:ascii="Times New Roman" w:hAnsi="Times New Roman"/>
          <w:b/>
          <w:sz w:val="20"/>
        </w:rPr>
        <w:t xml:space="preserve">Fiscal 2024 Non-Employee Director Equity Awards and Cash Retainers </w:t>
      </w:r>
    </w:p>
    <w:p>
      <w:pPr>
        <w:pStyle w:val="TextBody"/>
        <w:bidi w:val="0"/>
        <w:spacing w:before="120" w:after="0"/>
        <w:jc w:val="left"/>
        <w:rPr>
          <w:rFonts w:ascii="Times New Roman" w:hAnsi="Times New Roman"/>
          <w:sz w:val="20"/>
        </w:rPr>
      </w:pPr>
      <w:r>
        <w:rPr>
          <w:rFonts w:ascii="Times New Roman" w:hAnsi="Times New Roman"/>
          <w:sz w:val="20"/>
        </w:rPr>
        <w:t xml:space="preserve">On the date of WDCs 2023 Annual Meeting (November 15, 2023), each non-employee director serving on the WDC Board, including those who were appointed to Sandisks Board of Directors upon the separation in February 2025, was automatically granted 5,213 RSUs (6,300 RSUs for its Chair of the Board and 6,082 RSUs for its Lead Independent Director) with these awards being received by directors in fiscal 2024. The closing price of WDC common stock on the Nasdaq Stock Market on November 15, 2023, was $46.03. </w:t>
      </w:r>
    </w:p>
    <w:p>
      <w:pPr>
        <w:pStyle w:val="TextBody"/>
        <w:bidi w:val="0"/>
        <w:spacing w:before="240" w:after="0"/>
        <w:jc w:val="left"/>
        <w:rPr>
          <w:rFonts w:ascii="Times New Roman" w:hAnsi="Times New Roman"/>
          <w:sz w:val="20"/>
        </w:rPr>
      </w:pPr>
      <w:r>
        <w:rPr>
          <w:rFonts w:ascii="Times New Roman" w:hAnsi="Times New Roman"/>
          <w:sz w:val="20"/>
        </w:rPr>
        <w:t xml:space="preserve">Each of our non-employee directors serving on the WDC Board of Directors in fiscal 2024 also received cash retainer fees in the amounts set forth above under the section titled Fiscal 2024 Non-Employee Director Cash Retainer Fees. </w:t>
      </w:r>
    </w:p>
    <w:p>
      <w:pPr>
        <w:pStyle w:val="TextBody"/>
        <w:bidi w:val="0"/>
        <w:spacing w:before="360" w:after="0"/>
        <w:jc w:val="left"/>
        <w:rPr>
          <w:rFonts w:ascii="Times New Roman" w:hAnsi="Times New Roman"/>
          <w:b/>
          <w:sz w:val="20"/>
        </w:rPr>
      </w:pPr>
      <w:r>
        <w:rPr>
          <w:rFonts w:ascii="Times New Roman" w:hAnsi="Times New Roman"/>
          <w:b/>
          <w:sz w:val="20"/>
        </w:rPr>
        <w:t xml:space="preserve">Deferred Compensation Plan for Non-Employee Directors </w:t>
      </w:r>
    </w:p>
    <w:p>
      <w:pPr>
        <w:pStyle w:val="TextBody"/>
        <w:bidi w:val="0"/>
        <w:spacing w:before="120" w:after="0"/>
        <w:jc w:val="left"/>
        <w:rPr>
          <w:rFonts w:ascii="Times New Roman" w:hAnsi="Times New Roman"/>
          <w:sz w:val="20"/>
        </w:rPr>
      </w:pPr>
      <w:r>
        <w:rPr>
          <w:rFonts w:ascii="Times New Roman" w:hAnsi="Times New Roman"/>
          <w:sz w:val="20"/>
        </w:rPr>
        <w:t xml:space="preserve">WDC permits each non-employee director to defer payment of up to 80% of his or her annual cash compensation in accordance with WDCs deferred compensation plan (the WDC Deferred Compensation Plan). WDC also permits non-employee directors to defer payment of any RSUs awarded under its Non-Employee Director Restricted Stock Unit Grant Program beyond the vesting date of the award. RSUs and other amounts deferred in cash by a director are generally credited and payable in the same manner as amounts deferred by its executive officers and other participants in its Deferred Compensation Plan. Sandisk adopted a substantially similar Deferred Compensation Plan in connection with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Equity Incentive Arrangements in Connection with the Spin-off </w:t>
      </w:r>
    </w:p>
    <w:p>
      <w:pPr>
        <w:pStyle w:val="TextBody"/>
        <w:bidi w:val="0"/>
        <w:spacing w:before="120" w:after="0"/>
        <w:jc w:val="left"/>
        <w:rPr>
          <w:rFonts w:ascii="Times New Roman" w:hAnsi="Times New Roman"/>
          <w:sz w:val="20"/>
        </w:rPr>
      </w:pPr>
      <w:r>
        <w:rPr>
          <w:rFonts w:ascii="Times New Roman" w:hAnsi="Times New Roman"/>
          <w:sz w:val="20"/>
        </w:rPr>
        <w:t xml:space="preserve">Our directors RSU awards that were granted under WDCs Non-Employee Director Restricted Stock Unit Grant Program prior to the spin-off were treated as follows upon our separation from WDC on February 21,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Sandisk directors who continued to serve as WDC directors following the spin-off (as dual service directors) had their RSU awards converted into post-separation WDC RSU awards and Sandisk RSU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awards. The number of shares of WDC common stock subject to each post-separation WDC RSU award is equal to the same number of shares that were subject to the pre-separation RSU award, and the number of shares of Sandisk common stock subject to each post-separation Sandisk RSU award is equal to the number of shares of Sandisk common stock an individual holder of WDC common stock received in the distribution calculated based on the number of WDC shares of common stock subject to the pre-separation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Sandisk directors who were previously WDC directors, but who only serve as Sandisk directors following the spin-off, had their RSU awards converted into Sandisk RSU awards, with adjustments intended to preserve the aggregate value of the equity award based on a ratio that took into account the pre-separation per share closing trading price of WDC common stock on the trading day prior to the separation and the average post-separation per share closing trading price of Sandisk common stock over 5 trading days following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Sandisk directors who elected to defer payment of their WDC RSU awards continue to retain the deferred payment of such awards pursuant to WDCs plans and programs following the spin-off, with adjustments intended to preserve the aggregate value of the equity award based on a ratio that took into account the pre-separation per share closing trading price of WDC common stock on the trading day prior to the separation and the average post-separation per share closing trading price of WDC common stock over 5 trading days following the separation.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34557_15"/>
      <w:bookmarkEnd w:id="17"/>
      <w:r>
        <w:rPr>
          <w:rFonts w:ascii="Times New Roman" w:hAnsi="Times New Roman"/>
          <w:b/>
          <w:sz w:val="20"/>
        </w:rPr>
        <w:t xml:space="preserve">EXECUTIVE COMPENSATION </w:t>
      </w:r>
    </w:p>
    <w:p>
      <w:pPr>
        <w:pStyle w:val="TextBody"/>
        <w:bidi w:val="0"/>
        <w:spacing w:before="120" w:after="0"/>
        <w:jc w:val="center"/>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Sandisk became an independent, publicly traded company as a result of its separation from WDC. Therefore, this Compensation Discussion and Analysis (CD&amp;A) and the related compensation tables include information regarding compensation paid by, and executive compensation policies and practices of, WDC as they relate to our named executive officers prior to the separation, which are similar to Sandisks compensation structure following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CD&amp;A and the executive compensation tables that follow, the following individual is our named executive officer (the NEO) who served during the fiscal year that ended June 28,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V. Goeckeler, Chief Executive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Luis F. Visoso, our Executive Vice President and Chief Financial Officer (our Chief Financial Officer), was not an employee of WDC during fiscal 2024. As described below, WDC entered into an offer letter with Mr. Visoso on July 1, 2024, which provided for Mr. Visosos employment with WDC to transfer to Sandisk September 28, 2024. Accordingly, Mr. Visoso was not an NEO for fiscal 2024; however, we have included below a summary of the material terms of his offer letter.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sections of this CD&amp;A describe WDCs executive compensation philosophy, executive compensation program elements and certain of WDCs executive compensation plans, policies and practices for fiscal 2024, as well as, to the extent known, certain aspects of Sandisks anticipated compensation program following the spin-off.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1Executive Compensation Philosophy, Objectives and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2Updates to Fiscal 2024 Executive Compensation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3Decisions and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4Fiscal 2025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5Other Program Features and Policies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1EXECUTIVE COMPENSATION PHILOSOPHY, OBJECTIVES AND PROCESS </w:t>
      </w:r>
    </w:p>
    <w:p>
      <w:pPr>
        <w:pStyle w:val="TextBody"/>
        <w:bidi w:val="0"/>
        <w:spacing w:before="120" w:after="0"/>
        <w:jc w:val="left"/>
        <w:rPr>
          <w:rFonts w:ascii="Times New Roman" w:hAnsi="Times New Roman"/>
          <w:sz w:val="20"/>
        </w:rPr>
      </w:pPr>
      <w:r>
        <w:rPr>
          <w:rFonts w:ascii="Times New Roman" w:hAnsi="Times New Roman"/>
          <w:sz w:val="20"/>
        </w:rPr>
        <w:t xml:space="preserve">The summary below provides the key objectives of WDCs executive compensation program prior to the separation: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pPr>
            <w:r>
              <w:rPr>
                <w:b/>
              </w:rPr>
              <w:t>Attract, retain and motivate premier talent</w:t>
            </w:r>
            <w:r>
              <w:rPr/>
              <w:t xml:space="preserve"> necessary to accelerate its growth and drive financial, operational and market performance</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b/>
              </w:rPr>
              <w:t>Provide competitive target compensation</w:t>
            </w:r>
            <w:r>
              <w:rPr/>
              <w:t xml:space="preserve"> relative to the technology industry in which it competes for business and talent</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b/>
              </w:rPr>
              <w:t>Encourage accountability</w:t>
            </w:r>
            <w:r>
              <w:rPr/>
              <w:t xml:space="preserve"> by tying a substantial portion of each executive officers target total direct compensation opportunity to individual, corporate and market-based performance objectives that it expects to create long-term value for stockholders</w:t>
            </w:r>
          </w:p>
        </w:tc>
      </w:tr>
      <w:tr>
        <w:trPr>
          <w:trHeight w:val="120" w:hRule="atLeast"/>
        </w:trPr>
        <w:tc>
          <w:tcPr>
            <w:tcW w:w="7041" w:type="dxa"/>
            <w:gridSpan w:val="3"/>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7041" w:type="dxa"/>
            <w:gridSpan w:val="3"/>
            <w:tcBorders/>
          </w:tcPr>
          <w:p>
            <w:pPr>
              <w:pStyle w:val="TableContents"/>
              <w:bidi w:val="0"/>
              <w:spacing w:before="0" w:after="283"/>
              <w:jc w:val="left"/>
              <w:rPr/>
            </w:pPr>
            <w:r>
              <w:rPr>
                <w:b/>
              </w:rPr>
              <w:t>Pay for performance</w:t>
            </w:r>
            <w:r>
              <w:rPr/>
              <w:t xml:space="preserve"> by providing a substantial portion of compensation in the form of at-risk, variable incentive compensation awards that reward superior individual, corporate and market-based performance and that reduce pay for underperformance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b/>
              </w:rPr>
              <w:t>Align the interests of executive officers with stockholders</w:t>
            </w:r>
            <w:r>
              <w:rPr/>
              <w:t xml:space="preserve"> through pay-for-performance compensation design and by granting long-term equity awards that include multi-year performance or service vesting requirements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discussed above, until the consummation of the separation, Sandisk was part of WDC and was not an independent company. Prior to the spin-off, the WDC Compensation and Talent Committee made certain compensation decisions and took actions regarding our compensation philosophy, principles and program design, and following the spin-off, the Sandisk Compensation and Talent Committee made additional compensation decisions and took further actions. </w:t>
      </w:r>
    </w:p>
    <w:p>
      <w:pPr>
        <w:pStyle w:val="TextBody"/>
        <w:bidi w:val="0"/>
        <w:spacing w:before="240" w:after="0"/>
        <w:jc w:val="left"/>
        <w:rPr>
          <w:rFonts w:ascii="Times New Roman" w:hAnsi="Times New Roman"/>
          <w:sz w:val="20"/>
        </w:rPr>
      </w:pPr>
      <w:r>
        <w:rPr>
          <w:rFonts w:ascii="Times New Roman" w:hAnsi="Times New Roman"/>
          <w:sz w:val="20"/>
        </w:rPr>
        <w:t xml:space="preserve">After the spin-off, the WDC Compensation and Talent Committee and the Sandisk Compensation and Talent Committee established objectives and principles similar to the objectives and principles that WDC maintained for its compensation program in fiscal 2024, as described in this Compensation Discussion and Analysis. The Sandisk Compensation and Talent Committee expects to continue to refine Sandisks executive compensation policies and practices to align with its business needs, stockholder value, and peer group practices going forward. </w:t>
      </w:r>
    </w:p>
    <w:p>
      <w:pPr>
        <w:pStyle w:val="TextBody"/>
        <w:bidi w:val="0"/>
        <w:spacing w:before="360" w:after="0"/>
        <w:jc w:val="left"/>
        <w:rPr>
          <w:rFonts w:ascii="Times New Roman" w:hAnsi="Times New Roman"/>
          <w:b/>
          <w:sz w:val="20"/>
        </w:rPr>
      </w:pPr>
      <w:r>
        <w:rPr>
          <w:rFonts w:ascii="Times New Roman" w:hAnsi="Times New Roman"/>
          <w:b/>
          <w:sz w:val="20"/>
        </w:rPr>
        <w:t xml:space="preserve">WDCs 2024 Executive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Because Sandisk has been an independent company only since February 2025, the decisions impacting executive compensation with respect to fiscal year 2024 were made by WDC and grounded in its executive compensation philosophy and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Elements of WDCs Fiscal 2024 Executive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WDC believes its emphasis on variable compensation aligns with its focus on operating excellence and allows its executive compensation levels to reflect its performance. After evaluating its variable compensation plans with its independent compensation consultant, the WDC Compensation and Talent Committee approved the incentive compensation design summarized below for fiscal 2024. </w:t>
      </w:r>
    </w:p>
    <w:p>
      <w:pPr>
        <w:pStyle w:val="TextBody"/>
        <w:bidi w:val="0"/>
        <w:spacing w:before="240" w:after="0"/>
        <w:jc w:val="left"/>
        <w:rPr>
          <w:rFonts w:ascii="Times New Roman" w:hAnsi="Times New Roman"/>
          <w:sz w:val="20"/>
        </w:rPr>
      </w:pPr>
      <w:r>
        <w:rPr>
          <w:rFonts w:ascii="Times New Roman" w:hAnsi="Times New Roman"/>
          <w:sz w:val="20"/>
        </w:rPr>
        <w:t xml:space="preserve">Its actual pay positioning for each of its named executive officers varies based upon the WDC Compensation and Talent Committees review of its proxy peer group and survey market data, competitive pay levels for comparable roles and each executive officers role, past performance, scope of responsibility and expected future contributions.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elements reflected below, WDC also provides its executive officers with limited perquisites and certain other indirect benefits, as described in the section below entitled Other Program Features and Policies. </w:t>
      </w:r>
    </w:p>
    <w:p>
      <w:pPr>
        <w:pStyle w:val="TextBody"/>
        <w:bidi w:val="0"/>
        <w:spacing w:before="480" w:after="0"/>
        <w:jc w:val="center"/>
        <w:rPr>
          <w:rFonts w:ascii="Times New Roman" w:hAnsi="Times New Roman"/>
          <w:b/>
          <w:sz w:val="20"/>
        </w:rPr>
      </w:pPr>
      <w:r>
        <w:rPr>
          <w:rFonts w:ascii="Times New Roman" w:hAnsi="Times New Roman"/>
          <w:b/>
          <w:sz w:val="20"/>
        </w:rPr>
        <w:t xml:space="preserve">Elements of Fiscal 2024 Target Total Direct Compensation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4"/>
        <w:gridCol w:w="202"/>
        <w:gridCol w:w="855"/>
        <w:gridCol w:w="202"/>
        <w:gridCol w:w="1049"/>
        <w:gridCol w:w="428"/>
        <w:gridCol w:w="2157"/>
        <w:gridCol w:w="126"/>
        <w:gridCol w:w="2070"/>
        <w:gridCol w:w="126"/>
        <w:gridCol w:w="1976"/>
      </w:tblGrid>
      <w:tr>
        <w:trPr/>
        <w:tc>
          <w:tcPr>
            <w:tcW w:w="101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10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CEO</w:t>
            </w:r>
          </w:p>
        </w:tc>
        <w:tc>
          <w:tcPr>
            <w:tcW w:w="428" w:type="dxa"/>
            <w:tcBorders/>
            <w:vAlign w:val="bottom"/>
          </w:tcPr>
          <w:p>
            <w:pPr>
              <w:pStyle w:val="TableContents"/>
              <w:bidi w:val="0"/>
              <w:spacing w:before="0" w:after="283"/>
              <w:jc w:val="left"/>
              <w:rPr/>
            </w:pPr>
            <w:r>
              <w:rPr/>
              <w:t>  </w:t>
            </w:r>
          </w:p>
        </w:tc>
        <w:tc>
          <w:tcPr>
            <w:tcW w:w="21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Characteristics</w:t>
            </w:r>
          </w:p>
        </w:tc>
        <w:tc>
          <w:tcPr>
            <w:tcW w:w="126" w:type="dxa"/>
            <w:tcBorders/>
            <w:vAlign w:val="bottom"/>
          </w:tcPr>
          <w:p>
            <w:pPr>
              <w:pStyle w:val="TableContents"/>
              <w:bidi w:val="0"/>
              <w:spacing w:before="0" w:after="283"/>
              <w:jc w:val="left"/>
              <w:rPr/>
            </w:pPr>
            <w:r>
              <w:rPr/>
              <w:t>  </w:t>
            </w:r>
          </w:p>
        </w:tc>
        <w:tc>
          <w:tcPr>
            <w:tcW w:w="20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w:t>
            </w:r>
          </w:p>
        </w:tc>
        <w:tc>
          <w:tcPr>
            <w:tcW w:w="126" w:type="dxa"/>
            <w:tcBorders/>
            <w:vAlign w:val="bottom"/>
          </w:tcPr>
          <w:p>
            <w:pPr>
              <w:pStyle w:val="TableContents"/>
              <w:bidi w:val="0"/>
              <w:spacing w:before="0" w:after="283"/>
              <w:jc w:val="left"/>
              <w:rPr/>
            </w:pPr>
            <w:r>
              <w:rPr/>
              <w:t>  </w:t>
            </w:r>
          </w:p>
        </w:tc>
        <w:tc>
          <w:tcPr>
            <w:tcW w:w="19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Performance Link/ Key</w:t>
              <w:br/>
              <w:t>Benchmark</w:t>
            </w:r>
          </w:p>
        </w:tc>
      </w:tr>
      <w:tr>
        <w:trPr/>
        <w:tc>
          <w:tcPr>
            <w:tcW w:w="1014" w:type="dxa"/>
            <w:tcBorders/>
          </w:tcPr>
          <w:p>
            <w:pPr>
              <w:pStyle w:val="TableContents"/>
              <w:bidi w:val="0"/>
              <w:spacing w:before="0" w:after="283"/>
              <w:jc w:val="left"/>
              <w:rPr>
                <w:b/>
              </w:rPr>
            </w:pPr>
            <w:r>
              <w:rPr>
                <w:b/>
              </w:rPr>
              <w:t>FIXED</w:t>
            </w:r>
          </w:p>
        </w:tc>
        <w:tc>
          <w:tcPr>
            <w:tcW w:w="202" w:type="dxa"/>
            <w:tcBorders/>
            <w:vAlign w:val="bottom"/>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b/>
              </w:rPr>
            </w:pPr>
            <w:r>
              <w:rPr>
                <w:b/>
              </w:rPr>
              <w:t>BASE SALARY</w:t>
            </w:r>
          </w:p>
        </w:tc>
        <w:tc>
          <w:tcPr>
            <w:tcW w:w="428"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0"/>
              <w:jc w:val="left"/>
              <w:rPr>
                <w:rFonts w:ascii="Times New Roman" w:hAnsi="Times New Roman"/>
                <w:sz w:val="20"/>
              </w:rPr>
            </w:pPr>
            <w:r>
              <w:rPr>
                <w:rFonts w:ascii="Times New Roman" w:hAnsi="Times New Roman"/>
                <w:sz w:val="20"/>
              </w:rPr>
              <w:t>  Fixed compensation</w:t>
            </w:r>
          </w:p>
        </w:tc>
        <w:tc>
          <w:tcPr>
            <w:tcW w:w="126" w:type="dxa"/>
            <w:tcBorders/>
            <w:vAlign w:val="bottom"/>
          </w:tcPr>
          <w:p>
            <w:pPr>
              <w:pStyle w:val="TableContents"/>
              <w:bidi w:val="0"/>
              <w:spacing w:before="0" w:after="283"/>
              <w:jc w:val="left"/>
              <w:rPr/>
            </w:pPr>
            <w:r>
              <w:rPr/>
              <w:t>  </w:t>
            </w:r>
          </w:p>
        </w:tc>
        <w:tc>
          <w:tcPr>
            <w:tcW w:w="2070" w:type="dxa"/>
            <w:tcBorders/>
          </w:tcPr>
          <w:p>
            <w:pPr>
              <w:pStyle w:val="TableContents"/>
              <w:bidi w:val="0"/>
              <w:spacing w:before="0" w:after="0"/>
              <w:jc w:val="left"/>
              <w:rPr>
                <w:rFonts w:ascii="Times New Roman" w:hAnsi="Times New Roman"/>
                <w:sz w:val="20"/>
              </w:rPr>
            </w:pPr>
            <w:r>
              <w:rPr>
                <w:rFonts w:ascii="Times New Roman" w:hAnsi="Times New Roman"/>
                <w:sz w:val="20"/>
              </w:rPr>
              <w:t>  Attracts, retains and motivates premier executive talent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  Compensates executive officers for sustained individual performance</w:t>
            </w:r>
          </w:p>
        </w:tc>
        <w:tc>
          <w:tcPr>
            <w:tcW w:w="126" w:type="dxa"/>
            <w:tcBorders/>
            <w:vAlign w:val="bottom"/>
          </w:tcPr>
          <w:p>
            <w:pPr>
              <w:pStyle w:val="TableContents"/>
              <w:bidi w:val="0"/>
              <w:spacing w:before="0" w:after="283"/>
              <w:jc w:val="left"/>
              <w:rPr/>
            </w:pPr>
            <w:r>
              <w:rPr/>
              <w:t>  </w:t>
            </w:r>
          </w:p>
        </w:tc>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  Competitive with market and industry practices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  Adjusted for experience, responsibility, potential and performance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92"/>
        <w:gridCol w:w="184"/>
        <w:gridCol w:w="1386"/>
        <w:gridCol w:w="184"/>
        <w:gridCol w:w="1058"/>
        <w:gridCol w:w="363"/>
        <w:gridCol w:w="2164"/>
        <w:gridCol w:w="125"/>
        <w:gridCol w:w="1855"/>
        <w:gridCol w:w="125"/>
        <w:gridCol w:w="1769"/>
      </w:tblGrid>
      <w:tr>
        <w:trPr/>
        <w:tc>
          <w:tcPr>
            <w:tcW w:w="99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99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CEO</w:t>
            </w:r>
          </w:p>
        </w:tc>
        <w:tc>
          <w:tcPr>
            <w:tcW w:w="363" w:type="dxa"/>
            <w:tcBorders/>
            <w:vAlign w:val="bottom"/>
          </w:tcPr>
          <w:p>
            <w:pPr>
              <w:pStyle w:val="TableContents"/>
              <w:bidi w:val="0"/>
              <w:spacing w:before="0" w:after="283"/>
              <w:jc w:val="left"/>
              <w:rPr/>
            </w:pPr>
            <w:r>
              <w:rPr/>
              <w:t>  </w:t>
            </w:r>
          </w:p>
        </w:tc>
        <w:tc>
          <w:tcPr>
            <w:tcW w:w="21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Characteristics</w:t>
            </w:r>
          </w:p>
        </w:tc>
        <w:tc>
          <w:tcPr>
            <w:tcW w:w="125"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w:t>
            </w:r>
          </w:p>
        </w:tc>
        <w:tc>
          <w:tcPr>
            <w:tcW w:w="125" w:type="dxa"/>
            <w:tcBorders/>
            <w:vAlign w:val="bottom"/>
          </w:tcPr>
          <w:p>
            <w:pPr>
              <w:pStyle w:val="TableContents"/>
              <w:bidi w:val="0"/>
              <w:spacing w:before="0" w:after="283"/>
              <w:jc w:val="left"/>
              <w:rPr/>
            </w:pPr>
            <w:r>
              <w:rPr/>
              <w:t>  </w:t>
            </w:r>
          </w:p>
        </w:tc>
        <w:tc>
          <w:tcPr>
            <w:tcW w:w="17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Performance Link/ Key</w:t>
              <w:br/>
              <w:t>Benchmark</w:t>
            </w:r>
          </w:p>
        </w:tc>
      </w:tr>
      <w:tr>
        <w:trPr/>
        <w:tc>
          <w:tcPr>
            <w:tcW w:w="992" w:type="dxa"/>
            <w:tcBorders/>
          </w:tcPr>
          <w:p>
            <w:pPr>
              <w:pStyle w:val="TableContents"/>
              <w:bidi w:val="0"/>
              <w:spacing w:before="0" w:after="20"/>
              <w:jc w:val="left"/>
              <w:rPr>
                <w:rFonts w:ascii="Times New Roman" w:hAnsi="Times New Roman"/>
                <w:b/>
                <w:sz w:val="20"/>
              </w:rPr>
            </w:pPr>
            <w:r>
              <w:rPr>
                <w:rFonts w:ascii="Times New Roman" w:hAnsi="Times New Roman"/>
                <w:b/>
                <w:sz w:val="20"/>
              </w:rPr>
              <w:t>ANNUAL</w:t>
            </w:r>
          </w:p>
        </w:tc>
        <w:tc>
          <w:tcPr>
            <w:tcW w:w="184" w:type="dxa"/>
            <w:tcBorders/>
            <w:vAlign w:val="bottom"/>
          </w:tcPr>
          <w:p>
            <w:pPr>
              <w:pStyle w:val="TableContents"/>
              <w:bidi w:val="0"/>
              <w:spacing w:before="0" w:after="283"/>
              <w:jc w:val="left"/>
              <w:rPr/>
            </w:pPr>
            <w:r>
              <w:rPr/>
              <w:t>  </w:t>
            </w:r>
          </w:p>
        </w:tc>
        <w:tc>
          <w:tcPr>
            <w:tcW w:w="1386"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058" w:type="dxa"/>
            <w:tcBorders/>
          </w:tcPr>
          <w:p>
            <w:pPr>
              <w:pStyle w:val="TableContents"/>
              <w:bidi w:val="0"/>
              <w:spacing w:before="0" w:after="283"/>
              <w:jc w:val="left"/>
              <w:rPr>
                <w:b/>
              </w:rPr>
            </w:pPr>
            <w:r>
              <w:rPr>
                <w:b/>
              </w:rPr>
              <w:t>STI</w:t>
            </w:r>
          </w:p>
        </w:tc>
        <w:tc>
          <w:tcPr>
            <w:tcW w:w="363"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0"/>
              <w:jc w:val="left"/>
              <w:rPr>
                <w:rFonts w:ascii="Times New Roman" w:hAnsi="Times New Roman"/>
                <w:sz w:val="20"/>
              </w:rPr>
            </w:pPr>
            <w:r>
              <w:rPr>
                <w:rFonts w:ascii="Times New Roman" w:hAnsi="Times New Roman"/>
                <w:sz w:val="20"/>
              </w:rPr>
              <w:t>  Annual performance-based cash incentive compensation</w:t>
            </w:r>
          </w:p>
        </w:tc>
        <w:tc>
          <w:tcPr>
            <w:tcW w:w="125"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0"/>
              <w:jc w:val="left"/>
              <w:rPr>
                <w:rFonts w:ascii="Times New Roman" w:hAnsi="Times New Roman"/>
                <w:sz w:val="20"/>
              </w:rPr>
            </w:pPr>
            <w:r>
              <w:rPr>
                <w:rFonts w:ascii="Times New Roman" w:hAnsi="Times New Roman"/>
                <w:sz w:val="20"/>
              </w:rPr>
              <w:t>  Motivates executive officers to accelerate WDCs annual growth and drive financial performance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  Encourages accountability by rewarding achievement of corporate and individual performance objectives</w:t>
            </w:r>
          </w:p>
        </w:tc>
        <w:tc>
          <w:tcPr>
            <w:tcW w:w="125" w:type="dxa"/>
            <w:tcBorders/>
            <w:vAlign w:val="bottom"/>
          </w:tcPr>
          <w:p>
            <w:pPr>
              <w:pStyle w:val="TableContents"/>
              <w:bidi w:val="0"/>
              <w:spacing w:before="0" w:after="283"/>
              <w:jc w:val="left"/>
              <w:rPr/>
            </w:pPr>
            <w:r>
              <w:rPr/>
              <w:t>  </w:t>
            </w:r>
          </w:p>
        </w:tc>
        <w:tc>
          <w:tcPr>
            <w:tcW w:w="1769" w:type="dxa"/>
            <w:tcBorders/>
          </w:tcPr>
          <w:p>
            <w:pPr>
              <w:pStyle w:val="TableContents"/>
              <w:bidi w:val="0"/>
              <w:spacing w:before="0" w:after="0"/>
              <w:jc w:val="left"/>
              <w:rPr>
                <w:rFonts w:ascii="Times New Roman" w:hAnsi="Times New Roman"/>
                <w:sz w:val="20"/>
              </w:rPr>
            </w:pPr>
            <w:r>
              <w:rPr>
                <w:rFonts w:ascii="Times New Roman" w:hAnsi="Times New Roman"/>
                <w:sz w:val="20"/>
              </w:rPr>
              <w:t>  Non-GAAP operating income (45% weighting)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  Cash Conversion Cycle (45% weighting)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  Emissions (10% weighting)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  Individual performance modifier (+/-25%) tied to specific individual performance goals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  Individual performance modifier may not increase award payout if non-GAAP operating income is below minimum level</w:t>
            </w:r>
          </w:p>
        </w:tc>
      </w:tr>
      <w:tr>
        <w:trPr>
          <w:trHeight w:val="120" w:hRule="atLeast"/>
        </w:trPr>
        <w:tc>
          <w:tcPr>
            <w:tcW w:w="992" w:type="dxa"/>
            <w:tcBorders/>
            <w:vAlign w:val="center"/>
          </w:tcPr>
          <w:p>
            <w:pPr>
              <w:pStyle w:val="TableContents"/>
              <w:bidi w:val="0"/>
              <w:spacing w:before="0" w:after="283"/>
              <w:jc w:val="left"/>
              <w:rPr>
                <w:sz w:val="4"/>
                <w:szCs w:val="4"/>
              </w:rPr>
            </w:pPr>
            <w:r>
              <w:rPr>
                <w:sz w:val="4"/>
                <w:szCs w:val="4"/>
              </w:rPr>
            </w:r>
          </w:p>
        </w:tc>
        <w:tc>
          <w:tcPr>
            <w:tcW w:w="1570" w:type="dxa"/>
            <w:gridSpan w:val="2"/>
            <w:tcBorders/>
            <w:vAlign w:val="center"/>
          </w:tcPr>
          <w:p>
            <w:pPr>
              <w:pStyle w:val="TableContents"/>
              <w:bidi w:val="0"/>
              <w:spacing w:before="0" w:after="283"/>
              <w:jc w:val="left"/>
              <w:rPr>
                <w:sz w:val="4"/>
                <w:szCs w:val="4"/>
              </w:rPr>
            </w:pPr>
            <w:r>
              <w:rPr>
                <w:sz w:val="4"/>
                <w:szCs w:val="4"/>
              </w:rPr>
            </w:r>
          </w:p>
        </w:tc>
        <w:tc>
          <w:tcPr>
            <w:tcW w:w="1242" w:type="dxa"/>
            <w:gridSpan w:val="2"/>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c>
          <w:tcPr>
            <w:tcW w:w="1980" w:type="dxa"/>
            <w:gridSpan w:val="2"/>
            <w:tcBorders/>
            <w:vAlign w:val="center"/>
          </w:tcPr>
          <w:p>
            <w:pPr>
              <w:pStyle w:val="TableContents"/>
              <w:bidi w:val="0"/>
              <w:spacing w:before="0" w:after="283"/>
              <w:jc w:val="left"/>
              <w:rPr>
                <w:sz w:val="4"/>
                <w:szCs w:val="4"/>
              </w:rPr>
            </w:pPr>
            <w:r>
              <w:rPr>
                <w:sz w:val="4"/>
                <w:szCs w:val="4"/>
              </w:rPr>
            </w:r>
          </w:p>
        </w:tc>
        <w:tc>
          <w:tcPr>
            <w:tcW w:w="1894" w:type="dxa"/>
            <w:gridSpan w:val="2"/>
            <w:tcBorders/>
            <w:vAlign w:val="center"/>
          </w:tcPr>
          <w:p>
            <w:pPr>
              <w:pStyle w:val="TableContents"/>
              <w:bidi w:val="0"/>
              <w:spacing w:before="0" w:after="283"/>
              <w:jc w:val="left"/>
              <w:rPr>
                <w:sz w:val="4"/>
                <w:szCs w:val="4"/>
              </w:rPr>
            </w:pPr>
            <w:r>
              <w:rPr>
                <w:sz w:val="4"/>
                <w:szCs w:val="4"/>
              </w:rPr>
            </w:r>
          </w:p>
        </w:tc>
      </w:tr>
      <w:tr>
        <w:trPr/>
        <w:tc>
          <w:tcPr>
            <w:tcW w:w="992"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386" w:type="dxa"/>
            <w:tcBorders/>
          </w:tcPr>
          <w:p>
            <w:pPr>
              <w:pStyle w:val="TableContents"/>
              <w:bidi w:val="0"/>
              <w:spacing w:before="0" w:after="283"/>
              <w:jc w:val="left"/>
              <w:rPr>
                <w:b/>
              </w:rPr>
            </w:pPr>
            <w:r>
              <w:rPr>
                <w:b/>
              </w:rPr>
              <w:t>VARIABLE PAYAT RISK</w:t>
            </w:r>
          </w:p>
        </w:tc>
        <w:tc>
          <w:tcPr>
            <w:tcW w:w="184" w:type="dxa"/>
            <w:tcBorders/>
            <w:vAlign w:val="bottom"/>
          </w:tcPr>
          <w:p>
            <w:pPr>
              <w:pStyle w:val="TableContents"/>
              <w:bidi w:val="0"/>
              <w:spacing w:before="0" w:after="283"/>
              <w:jc w:val="left"/>
              <w:rPr/>
            </w:pPr>
            <w:r>
              <w:rPr/>
              <w:t>  </w:t>
            </w:r>
          </w:p>
        </w:tc>
        <w:tc>
          <w:tcPr>
            <w:tcW w:w="1058" w:type="dxa"/>
            <w:tcBorders/>
          </w:tcPr>
          <w:p>
            <w:pPr>
              <w:pStyle w:val="TableContents"/>
              <w:bidi w:val="0"/>
              <w:spacing w:before="0" w:after="283"/>
              <w:jc w:val="left"/>
              <w:rPr>
                <w:b/>
              </w:rPr>
            </w:pPr>
            <w:r>
              <w:rPr>
                <w:b/>
              </w:rPr>
              <w:t>LTI PSUs</w:t>
            </w:r>
          </w:p>
        </w:tc>
        <w:tc>
          <w:tcPr>
            <w:tcW w:w="363"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0"/>
              <w:jc w:val="left"/>
              <w:rPr>
                <w:rFonts w:ascii="Times New Roman" w:hAnsi="Times New Roman"/>
                <w:sz w:val="20"/>
              </w:rPr>
            </w:pPr>
            <w:r>
              <w:rPr>
                <w:rFonts w:ascii="Times New Roman" w:hAnsi="Times New Roman"/>
                <w:sz w:val="20"/>
              </w:rPr>
              <w:t>  Upon the separation, WDC PSUs held by Sandisk employees were converted to time-based Sandisk RSUs and were assumed under the Sandisk Corporation 2025 Long-Term Incentive Plan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  3x1 annual performance</w:t>
            </w:r>
          </w:p>
        </w:tc>
        <w:tc>
          <w:tcPr>
            <w:tcW w:w="125"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0"/>
              <w:jc w:val="left"/>
              <w:rPr>
                <w:rFonts w:ascii="Times New Roman" w:hAnsi="Times New Roman"/>
                <w:sz w:val="20"/>
              </w:rPr>
            </w:pPr>
            <w:r>
              <w:rPr>
                <w:rFonts w:ascii="Times New Roman" w:hAnsi="Times New Roman"/>
                <w:sz w:val="20"/>
              </w:rPr>
              <w:t>  Encouraged accountability by rewarding achievement of long-term (over a three-year period) corporate and market-based performance objectives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  Focused WDCs named executive officers on value creation through annual financial</w:t>
            </w:r>
          </w:p>
        </w:tc>
        <w:tc>
          <w:tcPr>
            <w:tcW w:w="125" w:type="dxa"/>
            <w:tcBorders/>
            <w:vAlign w:val="bottom"/>
          </w:tcPr>
          <w:p>
            <w:pPr>
              <w:pStyle w:val="TableContents"/>
              <w:bidi w:val="0"/>
              <w:spacing w:before="0" w:after="283"/>
              <w:jc w:val="left"/>
              <w:rPr/>
            </w:pPr>
            <w:r>
              <w:rPr/>
              <w:t>  </w:t>
            </w:r>
          </w:p>
        </w:tc>
        <w:tc>
          <w:tcPr>
            <w:tcW w:w="1769" w:type="dxa"/>
            <w:tcBorders/>
          </w:tcPr>
          <w:p>
            <w:pPr>
              <w:pStyle w:val="TableContents"/>
              <w:bidi w:val="0"/>
              <w:spacing w:before="0" w:after="0"/>
              <w:jc w:val="left"/>
              <w:rPr>
                <w:rFonts w:ascii="Times New Roman" w:hAnsi="Times New Roman"/>
                <w:sz w:val="20"/>
              </w:rPr>
            </w:pPr>
            <w:r>
              <w:rPr>
                <w:rFonts w:ascii="Times New Roman" w:hAnsi="Times New Roman"/>
                <w:sz w:val="20"/>
              </w:rPr>
              <w:t>  Revenue and non-GAAP EPS goals were each weighted at 50%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  Three-year relative Total Shareholder Return (TSR) modifier (+/-10%)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  Relative TSR modifier did not increase payout if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47"/>
        <w:gridCol w:w="206"/>
        <w:gridCol w:w="860"/>
        <w:gridCol w:w="206"/>
        <w:gridCol w:w="883"/>
        <w:gridCol w:w="433"/>
        <w:gridCol w:w="2204"/>
        <w:gridCol w:w="130"/>
        <w:gridCol w:w="1990"/>
        <w:gridCol w:w="130"/>
        <w:gridCol w:w="1916"/>
      </w:tblGrid>
      <w:tr>
        <w:trPr/>
        <w:tc>
          <w:tcPr>
            <w:tcW w:w="124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12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CEO</w:t>
            </w:r>
          </w:p>
        </w:tc>
        <w:tc>
          <w:tcPr>
            <w:tcW w:w="433" w:type="dxa"/>
            <w:tcBorders/>
            <w:vAlign w:val="bottom"/>
          </w:tcPr>
          <w:p>
            <w:pPr>
              <w:pStyle w:val="TableContents"/>
              <w:bidi w:val="0"/>
              <w:spacing w:before="0" w:after="283"/>
              <w:jc w:val="left"/>
              <w:rPr/>
            </w:pPr>
            <w:r>
              <w:rPr/>
              <w:t>  </w:t>
            </w:r>
          </w:p>
        </w:tc>
        <w:tc>
          <w:tcPr>
            <w:tcW w:w="2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Characteristics</w:t>
            </w:r>
          </w:p>
        </w:tc>
        <w:tc>
          <w:tcPr>
            <w:tcW w:w="130" w:type="dxa"/>
            <w:tcBorders/>
            <w:vAlign w:val="bottom"/>
          </w:tcPr>
          <w:p>
            <w:pPr>
              <w:pStyle w:val="TableContents"/>
              <w:bidi w:val="0"/>
              <w:spacing w:before="0" w:after="283"/>
              <w:jc w:val="left"/>
              <w:rPr/>
            </w:pPr>
            <w:r>
              <w:rPr/>
              <w:t>  </w:t>
            </w:r>
          </w:p>
        </w:tc>
        <w:tc>
          <w:tcPr>
            <w:tcW w:w="19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w:t>
            </w:r>
          </w:p>
        </w:tc>
        <w:tc>
          <w:tcPr>
            <w:tcW w:w="130" w:type="dxa"/>
            <w:tcBorders/>
            <w:vAlign w:val="bottom"/>
          </w:tcPr>
          <w:p>
            <w:pPr>
              <w:pStyle w:val="TableContents"/>
              <w:bidi w:val="0"/>
              <w:spacing w:before="0" w:after="283"/>
              <w:jc w:val="left"/>
              <w:rPr/>
            </w:pPr>
            <w:r>
              <w:rPr/>
              <w:t>  </w:t>
            </w:r>
          </w:p>
        </w:tc>
        <w:tc>
          <w:tcPr>
            <w:tcW w:w="19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Performance Link/ Key</w:t>
              <w:br/>
              <w:t>Benchmark</w:t>
            </w:r>
          </w:p>
        </w:tc>
      </w:tr>
      <w:tr>
        <w:trPr/>
        <w:tc>
          <w:tcPr>
            <w:tcW w:w="1247"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204" w:type="dxa"/>
            <w:tcBorders/>
          </w:tcPr>
          <w:p>
            <w:pPr>
              <w:pStyle w:val="TableContents"/>
              <w:bidi w:val="0"/>
              <w:spacing w:before="0" w:after="0"/>
              <w:jc w:val="left"/>
              <w:rPr>
                <w:rFonts w:ascii="Times New Roman" w:hAnsi="Times New Roman"/>
                <w:sz w:val="20"/>
              </w:rPr>
            </w:pPr>
            <w:r>
              <w:rPr>
                <w:rFonts w:ascii="Times New Roman" w:hAnsi="Times New Roman"/>
                <w:sz w:val="20"/>
              </w:rPr>
              <w:t>targets; annual payouts averaged for a final three-year payout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  60% of Mr. Goeckelers LTI were PSUs</w:t>
            </w:r>
          </w:p>
        </w:tc>
        <w:tc>
          <w:tcPr>
            <w:tcW w:w="13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0"/>
              <w:jc w:val="left"/>
              <w:rPr>
                <w:rFonts w:ascii="Times New Roman" w:hAnsi="Times New Roman"/>
                <w:sz w:val="20"/>
              </w:rPr>
            </w:pPr>
            <w:r>
              <w:rPr>
                <w:rFonts w:ascii="Times New Roman" w:hAnsi="Times New Roman"/>
                <w:sz w:val="20"/>
              </w:rPr>
              <w:t>objectives, while also encouraging long-term value creation</w:t>
            </w:r>
          </w:p>
        </w:tc>
        <w:tc>
          <w:tcPr>
            <w:tcW w:w="130" w:type="dxa"/>
            <w:tcBorders/>
            <w:vAlign w:val="bottom"/>
          </w:tcPr>
          <w:p>
            <w:pPr>
              <w:pStyle w:val="TableContents"/>
              <w:bidi w:val="0"/>
              <w:spacing w:before="0" w:after="283"/>
              <w:jc w:val="left"/>
              <w:rPr/>
            </w:pPr>
            <w:r>
              <w:rPr/>
              <w:t>  </w:t>
            </w:r>
          </w:p>
        </w:tc>
        <w:tc>
          <w:tcPr>
            <w:tcW w:w="1916" w:type="dxa"/>
            <w:tcBorders/>
          </w:tcPr>
          <w:p>
            <w:pPr>
              <w:pStyle w:val="TableContents"/>
              <w:bidi w:val="0"/>
              <w:spacing w:before="0" w:after="0"/>
              <w:jc w:val="left"/>
              <w:rPr>
                <w:rFonts w:ascii="Times New Roman" w:hAnsi="Times New Roman"/>
                <w:sz w:val="20"/>
              </w:rPr>
            </w:pPr>
            <w:r>
              <w:rPr>
                <w:rFonts w:ascii="Times New Roman" w:hAnsi="Times New Roman"/>
                <w:sz w:val="20"/>
              </w:rPr>
              <w:t>absolute TSR was negative</w:t>
            </w:r>
          </w:p>
        </w:tc>
      </w:tr>
      <w:tr>
        <w:trPr>
          <w:trHeight w:val="120" w:hRule="atLeast"/>
        </w:trPr>
        <w:tc>
          <w:tcPr>
            <w:tcW w:w="1247" w:type="dxa"/>
            <w:tcBorders/>
            <w:vAlign w:val="center"/>
          </w:tcPr>
          <w:p>
            <w:pPr>
              <w:pStyle w:val="TableContents"/>
              <w:bidi w:val="0"/>
              <w:spacing w:before="0" w:after="283"/>
              <w:jc w:val="left"/>
              <w:rPr>
                <w:sz w:val="4"/>
                <w:szCs w:val="4"/>
              </w:rPr>
            </w:pPr>
            <w:r>
              <w:rPr>
                <w:sz w:val="4"/>
                <w:szCs w:val="4"/>
              </w:rPr>
            </w:r>
          </w:p>
        </w:tc>
        <w:tc>
          <w:tcPr>
            <w:tcW w:w="1066" w:type="dxa"/>
            <w:gridSpan w:val="2"/>
            <w:tcBorders/>
            <w:vAlign w:val="center"/>
          </w:tcPr>
          <w:p>
            <w:pPr>
              <w:pStyle w:val="TableContents"/>
              <w:bidi w:val="0"/>
              <w:spacing w:before="0" w:after="283"/>
              <w:jc w:val="left"/>
              <w:rPr>
                <w:sz w:val="4"/>
                <w:szCs w:val="4"/>
              </w:rPr>
            </w:pPr>
            <w:r>
              <w:rPr>
                <w:sz w:val="4"/>
                <w:szCs w:val="4"/>
              </w:rPr>
            </w:r>
          </w:p>
        </w:tc>
        <w:tc>
          <w:tcPr>
            <w:tcW w:w="1089" w:type="dxa"/>
            <w:gridSpan w:val="2"/>
            <w:tcBorders/>
            <w:vAlign w:val="center"/>
          </w:tcPr>
          <w:p>
            <w:pPr>
              <w:pStyle w:val="TableContents"/>
              <w:bidi w:val="0"/>
              <w:spacing w:before="0" w:after="283"/>
              <w:jc w:val="left"/>
              <w:rPr>
                <w:sz w:val="4"/>
                <w:szCs w:val="4"/>
              </w:rPr>
            </w:pPr>
            <w:r>
              <w:rPr>
                <w:sz w:val="4"/>
                <w:szCs w:val="4"/>
              </w:rPr>
            </w:r>
          </w:p>
        </w:tc>
        <w:tc>
          <w:tcPr>
            <w:tcW w:w="2637" w:type="dxa"/>
            <w:gridSpan w:val="2"/>
            <w:tcBorders/>
            <w:vAlign w:val="center"/>
          </w:tcPr>
          <w:p>
            <w:pPr>
              <w:pStyle w:val="TableContents"/>
              <w:bidi w:val="0"/>
              <w:spacing w:before="0" w:after="283"/>
              <w:jc w:val="left"/>
              <w:rPr>
                <w:sz w:val="4"/>
                <w:szCs w:val="4"/>
              </w:rPr>
            </w:pPr>
            <w:r>
              <w:rPr>
                <w:sz w:val="4"/>
                <w:szCs w:val="4"/>
              </w:rPr>
            </w:r>
          </w:p>
        </w:tc>
        <w:tc>
          <w:tcPr>
            <w:tcW w:w="2120" w:type="dxa"/>
            <w:gridSpan w:val="2"/>
            <w:tcBorders/>
            <w:vAlign w:val="center"/>
          </w:tcPr>
          <w:p>
            <w:pPr>
              <w:pStyle w:val="TableContents"/>
              <w:bidi w:val="0"/>
              <w:spacing w:before="0" w:after="283"/>
              <w:jc w:val="left"/>
              <w:rPr>
                <w:sz w:val="4"/>
                <w:szCs w:val="4"/>
              </w:rPr>
            </w:pPr>
            <w:r>
              <w:rPr>
                <w:sz w:val="4"/>
                <w:szCs w:val="4"/>
              </w:rPr>
            </w:r>
          </w:p>
        </w:tc>
        <w:tc>
          <w:tcPr>
            <w:tcW w:w="2046" w:type="dxa"/>
            <w:gridSpan w:val="2"/>
            <w:tcBorders/>
            <w:vAlign w:val="center"/>
          </w:tcPr>
          <w:p>
            <w:pPr>
              <w:pStyle w:val="TableContents"/>
              <w:bidi w:val="0"/>
              <w:spacing w:before="0" w:after="283"/>
              <w:jc w:val="left"/>
              <w:rPr>
                <w:sz w:val="4"/>
                <w:szCs w:val="4"/>
              </w:rPr>
            </w:pPr>
            <w:r>
              <w:rPr>
                <w:sz w:val="4"/>
                <w:szCs w:val="4"/>
              </w:rPr>
            </w:r>
          </w:p>
        </w:tc>
      </w:tr>
      <w:tr>
        <w:trPr/>
        <w:tc>
          <w:tcPr>
            <w:tcW w:w="1247" w:type="dxa"/>
            <w:tcBorders/>
          </w:tcPr>
          <w:p>
            <w:pPr>
              <w:pStyle w:val="TableContents"/>
              <w:bidi w:val="0"/>
              <w:spacing w:before="0" w:after="20"/>
              <w:jc w:val="left"/>
              <w:rPr>
                <w:rFonts w:ascii="Times New Roman" w:hAnsi="Times New Roman"/>
                <w:b/>
                <w:sz w:val="20"/>
              </w:rPr>
            </w:pPr>
            <w:r>
              <w:rPr>
                <w:rFonts w:ascii="Times New Roman" w:hAnsi="Times New Roman"/>
                <w:b/>
                <w:sz w:val="20"/>
              </w:rPr>
              <w:t>LONG-TERM</w:t>
            </w:r>
          </w:p>
        </w:tc>
        <w:tc>
          <w:tcPr>
            <w:tcW w:w="206" w:type="dxa"/>
            <w:tcBorders/>
            <w:vAlign w:val="bottom"/>
          </w:tcPr>
          <w:p>
            <w:pPr>
              <w:pStyle w:val="TableContents"/>
              <w:bidi w:val="0"/>
              <w:spacing w:before="0" w:after="283"/>
              <w:jc w:val="left"/>
              <w:rPr/>
            </w:pPr>
            <w:r>
              <w:rPr/>
              <w:t>  </w:t>
            </w:r>
          </w:p>
        </w:tc>
        <w:tc>
          <w:tcPr>
            <w:tcW w:w="86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883" w:type="dxa"/>
            <w:tcBorders/>
          </w:tcPr>
          <w:p>
            <w:pPr>
              <w:pStyle w:val="TableContents"/>
              <w:bidi w:val="0"/>
              <w:spacing w:before="0" w:after="283"/>
              <w:jc w:val="left"/>
              <w:rPr>
                <w:b/>
              </w:rPr>
            </w:pPr>
            <w:r>
              <w:rPr>
                <w:b/>
              </w:rPr>
              <w:t>RSUs</w:t>
            </w:r>
          </w:p>
        </w:tc>
        <w:tc>
          <w:tcPr>
            <w:tcW w:w="433" w:type="dxa"/>
            <w:tcBorders/>
            <w:vAlign w:val="bottom"/>
          </w:tcPr>
          <w:p>
            <w:pPr>
              <w:pStyle w:val="TableContents"/>
              <w:bidi w:val="0"/>
              <w:spacing w:before="0" w:after="283"/>
              <w:jc w:val="left"/>
              <w:rPr/>
            </w:pPr>
            <w:r>
              <w:rPr/>
              <w:t>  </w:t>
            </w:r>
          </w:p>
        </w:tc>
        <w:tc>
          <w:tcPr>
            <w:tcW w:w="2204" w:type="dxa"/>
            <w:tcBorders/>
          </w:tcPr>
          <w:p>
            <w:pPr>
              <w:pStyle w:val="TableContents"/>
              <w:bidi w:val="0"/>
              <w:spacing w:before="0" w:after="0"/>
              <w:jc w:val="left"/>
              <w:rPr>
                <w:rFonts w:ascii="Times New Roman" w:hAnsi="Times New Roman"/>
                <w:sz w:val="20"/>
              </w:rPr>
            </w:pPr>
            <w:r>
              <w:rPr>
                <w:rFonts w:ascii="Times New Roman" w:hAnsi="Times New Roman"/>
                <w:sz w:val="20"/>
              </w:rPr>
              <w:t>  Upon the separation, WDC RSUs held by Sandisk employees were converted to Sandisk RSUs and were assumed under the Sandisk Corporation 2025 Long-Term Incentive Plan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  Vested with respect to 25% after one year and 6.25% quarterly thereafter</w:t>
            </w:r>
          </w:p>
        </w:tc>
        <w:tc>
          <w:tcPr>
            <w:tcW w:w="130"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0"/>
              <w:jc w:val="left"/>
              <w:rPr>
                <w:rFonts w:ascii="Times New Roman" w:hAnsi="Times New Roman"/>
                <w:sz w:val="20"/>
              </w:rPr>
            </w:pPr>
            <w:r>
              <w:rPr>
                <w:rFonts w:ascii="Times New Roman" w:hAnsi="Times New Roman"/>
                <w:sz w:val="20"/>
              </w:rPr>
              <w:t>  Provided alignment with stockholder interests by focusing executive officers on long-term value creation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  Provided retention value</w:t>
            </w:r>
          </w:p>
        </w:tc>
        <w:tc>
          <w:tcPr>
            <w:tcW w:w="130" w:type="dxa"/>
            <w:tcBorders/>
            <w:vAlign w:val="bottom"/>
          </w:tcPr>
          <w:p>
            <w:pPr>
              <w:pStyle w:val="TableContents"/>
              <w:bidi w:val="0"/>
              <w:spacing w:before="0" w:after="283"/>
              <w:jc w:val="left"/>
              <w:rPr/>
            </w:pPr>
            <w:r>
              <w:rPr/>
              <w:t>  </w:t>
            </w:r>
          </w:p>
        </w:tc>
        <w:tc>
          <w:tcPr>
            <w:tcW w:w="1916" w:type="dxa"/>
            <w:tcBorders/>
          </w:tcPr>
          <w:p>
            <w:pPr>
              <w:pStyle w:val="TableContents"/>
              <w:bidi w:val="0"/>
              <w:spacing w:before="0" w:after="0"/>
              <w:jc w:val="left"/>
              <w:rPr>
                <w:rFonts w:ascii="Times New Roman" w:hAnsi="Times New Roman"/>
                <w:sz w:val="20"/>
              </w:rPr>
            </w:pPr>
            <w:r>
              <w:rPr>
                <w:rFonts w:ascii="Times New Roman" w:hAnsi="Times New Roman"/>
                <w:sz w:val="20"/>
              </w:rPr>
              <w:t>  Value based on WDCs stock price performance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WDCs Process for Determining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WDC Compensation and Talent Committee reviewed and determined compensation for its executive officers, including Mr. Goeckeler prior to the separation. The WDC Compensation and Talent Committee reviews the performance and compensation of its executive officers on an annual basis and at the time of hiring, promotion or other change in responsibilities. The WDC Compensation and Talent Committees annual review typically occurs near the end of the prior fiscal year and beginning of the new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WDC Compensation and Talent Committee also considers views and input received through stockholder outreach and engagement efforts when making determinations regarding its executive compensation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determining WDCs fiscal 2024 executive compensation program design, the WDC Compensation and Talent Committees executive compensation decisions were informed by several factors, including: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b/>
              </w:rPr>
            </w:pPr>
            <w:r>
              <w:rPr>
                <w:b/>
              </w:rPr>
              <w:t>EXTERNAL AND INTERNAL FACTORS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b/>
              </w:rPr>
            </w:pPr>
            <w:r>
              <w:rPr>
                <w:b/>
              </w:rPr>
              <w:t>COMPENSATION CONSULTANT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  WDCs compensation philosophy and objectives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  WDCs pay positioning relative to WDCs proxy peer group and broad compensation survey market data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executive officers role, experience, performance and contributions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  Internal pay equity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  WDCs retention objectives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  Succession planning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  Current and historical company performance and strategic and financial goals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  Market performance and general economic conditions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  Views from the WDC Compensation and Talent Committees independent compensation consultant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  Compensation survey and proxy peer group company market data prepared by the independent compensation consultant</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MANAGEMENT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CEOs recommendations for WDCs other executive officers (not including himself)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CFOs input on financial targets for WDCs performance-based incentive compensation program, data regarding the impact of the program on WDCs financial results and actual results against WDCs pre-established performance targets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  Internal and external compensation data provided by WDCs Chief People and Inclusion Officer and other staff</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STOCKHOLDERS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  Feedback received during stockholder outreach and engagement efforts</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WDC Compensation and Talent Committee engaged Compensia, Inc. (Compensia) as its independent compensation consultant in fiscal 2024. Compensia reported directly to the WDC Compensation and Talent Committee and communicated with management to gather information and review management proposals as needed. Compensia attended all regularly scheduled meetings of the WDC Compensation and Talent Committee during fiscal 2024 and its responsibilities for fiscal 2024 generally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advising on executive compensation, including the performance metrics used under the executive compensation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advising on compensation design and amounts for non-employee members of the WDC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recommendations regarding the composition and selection of WDCs proxy peer group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Analyzing proxy peer group and survey compensation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advice regarding executive compensation policies, practices and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Advising on the compensation-related items approved by the WDC Compensation and Talent Committee in connection with the strategic review of WDCs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WDC Compensation and Talent Committee assessed the independence of Compensia pursuant to applicable rules and regulations of the SEC and the Nasdaq Stock Market and concluded that the engagement of Compensia did not raise any conflicts of interest during fiscal 2024 and currently does not raise any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Comparative Market Data </w:t>
      </w:r>
    </w:p>
    <w:p>
      <w:pPr>
        <w:pStyle w:val="TextBody"/>
        <w:bidi w:val="0"/>
        <w:spacing w:before="120" w:after="0"/>
        <w:jc w:val="left"/>
        <w:rPr>
          <w:rFonts w:ascii="Times New Roman" w:hAnsi="Times New Roman"/>
          <w:sz w:val="20"/>
        </w:rPr>
      </w:pPr>
      <w:r>
        <w:rPr>
          <w:rFonts w:ascii="Times New Roman" w:hAnsi="Times New Roman"/>
          <w:sz w:val="20"/>
        </w:rPr>
        <w:t xml:space="preserve">For fiscal 2024, the WDC Compensation and Talent Committee determined the composition of WDCs proxy peer group with market data collected from the Radford Global Compensation Database, an independently published survey. The survey data was filtered to screen for companies in WDCs proxy peer group that participate in the survey and, for executive roles in which such survey screen resulted in insufficient data, a broader screen of technology companies as adjusted for revenue size was used. With input from its independent compensation consultant, the WDC Compensation and Talent Committee considered such market data and industry practices during its annual review of the competitiveness of WDCs compensation levels and the appropriate mix of compensation elements for WDCs named executive officers. This market data provided the WDC Compensation and Talent Committee a reference point, which was one of several factors that it used to make compensation decisions during its fiscal 2024 annual compensation review. </w:t>
      </w:r>
    </w:p>
    <w:p>
      <w:pPr>
        <w:pStyle w:val="TextBody"/>
        <w:bidi w:val="0"/>
        <w:spacing w:before="360" w:after="0"/>
        <w:jc w:val="left"/>
        <w:rPr>
          <w:rFonts w:ascii="Times New Roman" w:hAnsi="Times New Roman"/>
          <w:b/>
          <w:sz w:val="20"/>
        </w:rPr>
      </w:pPr>
      <w:r>
        <w:rPr>
          <w:rFonts w:ascii="Times New Roman" w:hAnsi="Times New Roman"/>
          <w:b/>
          <w:sz w:val="20"/>
        </w:rPr>
        <w:t xml:space="preserve">Fiscal 2024 Proxy Peer Group Companies for Benchmarking Pay and Incentive Design </w:t>
      </w:r>
    </w:p>
    <w:p>
      <w:pPr>
        <w:pStyle w:val="TextBody"/>
        <w:bidi w:val="0"/>
        <w:spacing w:before="120" w:after="0"/>
        <w:jc w:val="left"/>
        <w:rPr>
          <w:rFonts w:ascii="Times New Roman" w:hAnsi="Times New Roman"/>
          <w:sz w:val="20"/>
        </w:rPr>
      </w:pPr>
      <w:r>
        <w:rPr>
          <w:rFonts w:ascii="Times New Roman" w:hAnsi="Times New Roman"/>
          <w:sz w:val="20"/>
        </w:rPr>
        <w:t xml:space="preserve">The proxy peer group companies that the WDC Compensation and Talent Committee used for comparative pay and incentive design purposes for fiscal 2024 consisted of technology companies that compete with WDC for talent and have the size (primarily based on revenue) and business characteristics that WDC believes are comparable. Like WDC, many companies included in WDCs proxy peer group are included in the Dow Jones U.S. Technology Hardware &amp; Equipment Index. </w:t>
      </w:r>
    </w:p>
    <w:p>
      <w:pPr>
        <w:pStyle w:val="TextBody"/>
        <w:bidi w:val="0"/>
        <w:spacing w:before="240" w:after="0"/>
        <w:jc w:val="left"/>
        <w:rPr>
          <w:rFonts w:ascii="Times New Roman" w:hAnsi="Times New Roman"/>
          <w:sz w:val="20"/>
        </w:rPr>
      </w:pPr>
      <w:r>
        <w:rPr>
          <w:rFonts w:ascii="Times New Roman" w:hAnsi="Times New Roman"/>
          <w:sz w:val="20"/>
        </w:rPr>
        <w:t xml:space="preserve">In choosing companies for WDCs proxy peer group, the WDC Compensation and Talent Committee focused primarily on industry, talent market and revenue size. Revenue is a commonly used proxy for organizational size and complexity and is typically stable from year-to-year, making it a valuable metric when selecting peers for executive compensation purposes. As part of its decision process, the WDC Compensation and Talent Committee also referenced other metrics for informational purposes, including comparative market capitalization and profitability metrics. </w:t>
      </w:r>
    </w:p>
    <w:p>
      <w:pPr>
        <w:pStyle w:val="TextBody"/>
        <w:bidi w:val="0"/>
        <w:spacing w:before="360" w:after="0"/>
        <w:jc w:val="left"/>
        <w:rPr>
          <w:rFonts w:ascii="Times New Roman" w:hAnsi="Times New Roman"/>
          <w:b/>
          <w:sz w:val="20"/>
        </w:rPr>
      </w:pPr>
      <w:r>
        <w:rPr>
          <w:rFonts w:ascii="Times New Roman" w:hAnsi="Times New Roman"/>
          <w:b/>
          <w:sz w:val="20"/>
        </w:rPr>
        <w:t xml:space="preserve">WDC COMPARED TO PROXY PEER GROUP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5"/>
        <w:gridCol w:w="204"/>
        <w:gridCol w:w="2961"/>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pPr>
            <w:r>
              <w:rPr/>
              <w:t>Advanced Micro Devices, Inc.</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KLA Corporation</w:t>
            </w:r>
          </w:p>
        </w:tc>
        <w:tc>
          <w:tcPr>
            <w:tcW w:w="204"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NXP Semiconductors N.V.</w:t>
            </w:r>
          </w:p>
        </w:tc>
      </w:tr>
      <w:tr>
        <w:trPr/>
        <w:tc>
          <w:tcPr>
            <w:tcW w:w="3571" w:type="dxa"/>
            <w:tcBorders/>
          </w:tcPr>
          <w:p>
            <w:pPr>
              <w:pStyle w:val="TableContents"/>
              <w:bidi w:val="0"/>
              <w:spacing w:before="0" w:after="283"/>
              <w:jc w:val="left"/>
              <w:rPr/>
            </w:pPr>
            <w:r>
              <w:rPr/>
              <w:t>Analog Devices, Inc.</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Lam Research Corporation</w:t>
            </w:r>
          </w:p>
        </w:tc>
        <w:tc>
          <w:tcPr>
            <w:tcW w:w="204"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NVIDIA Corporation</w:t>
            </w:r>
          </w:p>
        </w:tc>
      </w:tr>
      <w:tr>
        <w:trPr/>
        <w:tc>
          <w:tcPr>
            <w:tcW w:w="3571" w:type="dxa"/>
            <w:tcBorders/>
          </w:tcPr>
          <w:p>
            <w:pPr>
              <w:pStyle w:val="TableContents"/>
              <w:bidi w:val="0"/>
              <w:spacing w:before="0" w:after="283"/>
              <w:jc w:val="left"/>
              <w:rPr/>
            </w:pPr>
            <w:r>
              <w:rPr/>
              <w:t>Applied Materials, Inc.</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Microchip Technology Inc.</w:t>
            </w:r>
          </w:p>
        </w:tc>
        <w:tc>
          <w:tcPr>
            <w:tcW w:w="204"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ON Semiconductor Corporation</w:t>
            </w:r>
          </w:p>
        </w:tc>
      </w:tr>
      <w:tr>
        <w:trPr/>
        <w:tc>
          <w:tcPr>
            <w:tcW w:w="3571" w:type="dxa"/>
            <w:tcBorders/>
          </w:tcPr>
          <w:p>
            <w:pPr>
              <w:pStyle w:val="TableContents"/>
              <w:bidi w:val="0"/>
              <w:spacing w:before="0" w:after="283"/>
              <w:jc w:val="left"/>
              <w:rPr/>
            </w:pPr>
            <w:r>
              <w:rPr/>
              <w:t>Broadcom Inc.</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Micron Technology, Inc.</w:t>
            </w:r>
          </w:p>
        </w:tc>
        <w:tc>
          <w:tcPr>
            <w:tcW w:w="204"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QUALCOMM Incorporated</w:t>
            </w:r>
          </w:p>
        </w:tc>
      </w:tr>
      <w:tr>
        <w:trPr/>
        <w:tc>
          <w:tcPr>
            <w:tcW w:w="3571" w:type="dxa"/>
            <w:tcBorders/>
          </w:tcPr>
          <w:p>
            <w:pPr>
              <w:pStyle w:val="TableContents"/>
              <w:bidi w:val="0"/>
              <w:spacing w:before="0" w:after="283"/>
              <w:jc w:val="left"/>
              <w:rPr/>
            </w:pPr>
            <w:r>
              <w:rPr/>
              <w:t>Cisco Systems, Inc.</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Motorola Solutions, Inc.</w:t>
            </w:r>
          </w:p>
        </w:tc>
        <w:tc>
          <w:tcPr>
            <w:tcW w:w="204"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Seagate Technology plc</w:t>
            </w:r>
          </w:p>
        </w:tc>
      </w:tr>
      <w:tr>
        <w:trPr/>
        <w:tc>
          <w:tcPr>
            <w:tcW w:w="3571" w:type="dxa"/>
            <w:tcBorders/>
          </w:tcPr>
          <w:p>
            <w:pPr>
              <w:pStyle w:val="TableContents"/>
              <w:bidi w:val="0"/>
              <w:spacing w:before="0" w:after="283"/>
              <w:jc w:val="left"/>
              <w:rPr/>
            </w:pPr>
            <w:r>
              <w:rPr/>
              <w:t>GlobalFoundries Inc.</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NetApp, Inc.</w:t>
            </w:r>
          </w:p>
        </w:tc>
        <w:tc>
          <w:tcPr>
            <w:tcW w:w="204"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Texas Instruments Incorporated</w:t>
            </w:r>
          </w:p>
        </w:tc>
      </w:tr>
      <w:tr>
        <w:trPr/>
        <w:tc>
          <w:tcPr>
            <w:tcW w:w="3571" w:type="dxa"/>
            <w:tcBorders/>
          </w:tcPr>
          <w:p>
            <w:pPr>
              <w:pStyle w:val="TableContents"/>
              <w:bidi w:val="0"/>
              <w:spacing w:before="0" w:after="283"/>
              <w:jc w:val="left"/>
              <w:rPr/>
            </w:pPr>
            <w:r>
              <w:rPr/>
              <w:t>Hewlett Packard Enterprise Company</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annual revenue for the most recent fiscal year for which data was available through SEC filings as of August 30,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2UPDATES TO FISCAL 2024 EXECUTIVE COMPENSATION PROGRAM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2024 Short-Term Incentives </w:t>
      </w:r>
    </w:p>
    <w:p>
      <w:pPr>
        <w:pStyle w:val="TextBody"/>
        <w:bidi w:val="0"/>
        <w:spacing w:before="120" w:after="0"/>
        <w:jc w:val="left"/>
        <w:rPr>
          <w:rFonts w:ascii="Times New Roman" w:hAnsi="Times New Roman"/>
          <w:sz w:val="20"/>
        </w:rPr>
      </w:pPr>
      <w:r>
        <w:rPr>
          <w:rFonts w:ascii="Times New Roman" w:hAnsi="Times New Roman"/>
          <w:sz w:val="20"/>
        </w:rPr>
        <w:t xml:space="preserve">The WDC Compensation and Talent Committee implemented a number of enhancements to WDCs short-term incentives (the STI) design, beginning in fiscal 2024, which were responsive to perspectives and feedback shared by WDCs stockholders during WDCs year-round engagement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assessing WDCs fiscal 2024 objectives, market conditions and considering stockholder feedback, the WDC Compensation and Talent Committee approved the following STI design for fiscal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16332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163322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Individual Modifier did not increase award payout if WDCs non-GAAP operating income was below the minimum performance level.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WDC Compensation and Talent Committee eliminated the exabytes shipped metrics and the individual performance metric included in the fiscal 2023 STI and replaced them with a cash conversion cycle metric and an emissions metric. The cash conversion cycle metric measures the length of time it takes to convert WDCs working capital investments into cash, which the WDC Compensation and Talent Committee believes complements non-GAAP operating income by focusing WDCs executive officers on both profitability and managing working capital (inventory, receivables and payables) to generate cash. The emissions metric aligns WDCs executive officers compensation to progress on WDCs Scope 1 and Scope 2 emissions reduction targets. </w:t>
      </w:r>
    </w:p>
    <w:p>
      <w:pPr>
        <w:pStyle w:val="TextBody"/>
        <w:bidi w:val="0"/>
        <w:spacing w:before="240" w:after="0"/>
        <w:jc w:val="left"/>
        <w:rPr>
          <w:rFonts w:ascii="Times New Roman" w:hAnsi="Times New Roman"/>
          <w:sz w:val="20"/>
        </w:rPr>
      </w:pPr>
      <w:r>
        <w:rPr>
          <w:rFonts w:ascii="Times New Roman" w:hAnsi="Times New Roman"/>
          <w:sz w:val="20"/>
        </w:rPr>
        <w:t xml:space="preserve">The individual performance modifier in the fiscal 2024 STI includes execution and leadership goals for each executive and corporate ESG goals focused on inclusion and governance. The individual performance modifier may not increase award payout (but can still decrease the payout) if WDCs non-GAAP operating income performance is below the minimum performance level for that metric. </w:t>
      </w:r>
    </w:p>
    <w:p>
      <w:pPr>
        <w:pStyle w:val="TextBody"/>
        <w:bidi w:val="0"/>
        <w:spacing w:before="360" w:after="0"/>
        <w:jc w:val="left"/>
        <w:rPr>
          <w:rFonts w:ascii="Times New Roman" w:hAnsi="Times New Roman"/>
          <w:b/>
          <w:sz w:val="20"/>
        </w:rPr>
      </w:pPr>
      <w:r>
        <w:rPr>
          <w:rFonts w:ascii="Times New Roman" w:hAnsi="Times New Roman"/>
          <w:b/>
          <w:sz w:val="20"/>
        </w:rPr>
        <w:t xml:space="preserve">Fiscal 2024-2026 Performance Stock Units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employee matters agreement entered into by and between WDC and Sandisk effective February 21, 2025, the outstanding WDC PSUs (including those granted in fiscal 2024) held by WDC employees who would be employed by us following the separation, including Mr. Goeckeler, were converted to time-based Sandisk RSUs, assumed under the Sandisk 2025 Long-Term Incentive Plan and are no longer subject to performance-based vesting conditions. The Fiscal 2024-2026 PSUs had a relative TSR modifier that modifies PSU payouts with a multiplier ranging from +/- 10% based on WDCs performance relative to the S&amp;P 500 Information Technology Index constituents as of the beginning of the performance period. The modifier compares WDCs three-year TSR performance to the median company in the index based on three-year TSR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3FISCAL 2024 DECISIONS AND OUTCOMES </w:t>
      </w:r>
    </w:p>
    <w:p>
      <w:pPr>
        <w:pStyle w:val="TextBody"/>
        <w:bidi w:val="0"/>
        <w:spacing w:before="120" w:after="0"/>
        <w:jc w:val="left"/>
        <w:rPr>
          <w:rFonts w:ascii="Times New Roman" w:hAnsi="Times New Roman"/>
          <w:b/>
          <w:sz w:val="20"/>
        </w:rPr>
      </w:pPr>
      <w:r>
        <w:rPr>
          <w:rFonts w:ascii="Times New Roman" w:hAnsi="Times New Roman"/>
          <w:b/>
          <w:sz w:val="20"/>
        </w:rPr>
        <w:t xml:space="preserve">Base Salary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5"/>
        <w:gridCol w:w="505"/>
        <w:gridCol w:w="70"/>
        <w:gridCol w:w="1187"/>
        <w:gridCol w:w="60"/>
        <w:gridCol w:w="505"/>
        <w:gridCol w:w="434"/>
        <w:gridCol w:w="1059"/>
        <w:gridCol w:w="280"/>
      </w:tblGrid>
      <w:tr>
        <w:trPr/>
        <w:tc>
          <w:tcPr>
            <w:tcW w:w="6105"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105" w:type="dxa"/>
            <w:tcBorders/>
            <w:vAlign w:val="bottom"/>
          </w:tcPr>
          <w:p>
            <w:pPr>
              <w:pStyle w:val="TableContents"/>
              <w:bidi w:val="0"/>
              <w:spacing w:before="0" w:after="283"/>
              <w:jc w:val="left"/>
              <w:rPr>
                <w:b/>
              </w:rPr>
            </w:pPr>
            <w:r>
              <w:rPr>
                <w:b/>
              </w:rPr>
              <w:t>Named Executive Officer</w:t>
            </w:r>
          </w:p>
        </w:tc>
        <w:tc>
          <w:tcPr>
            <w:tcW w:w="505"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pPr>
            <w:r>
              <w:rPr>
                <w:b/>
              </w:rPr>
              <w:t>Base Salary</w:t>
            </w:r>
            <w:r>
              <w:rPr/>
              <w:br/>
            </w:r>
            <w:r>
              <w:rPr>
                <w:b/>
              </w:rPr>
              <w:t>Level (1)</w:t>
            </w:r>
            <w:r>
              <w:rPr/>
              <w:br/>
            </w:r>
            <w:r>
              <w:rPr>
                <w:b/>
              </w:rPr>
              <w:t>($)</w:t>
            </w:r>
          </w:p>
        </w:tc>
        <w:tc>
          <w:tcPr>
            <w:tcW w:w="60"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pPr>
            <w:r>
              <w:rPr>
                <w:b/>
              </w:rPr>
              <w:t>Increase from</w:t>
            </w:r>
            <w:r>
              <w:rPr/>
              <w:br/>
            </w:r>
            <w:r>
              <w:rPr>
                <w:b/>
              </w:rPr>
              <w:t>Fiscal 2023</w:t>
            </w:r>
          </w:p>
        </w:tc>
        <w:tc>
          <w:tcPr>
            <w:tcW w:w="280" w:type="dxa"/>
            <w:tcBorders/>
            <w:vAlign w:val="bottom"/>
          </w:tcPr>
          <w:p>
            <w:pPr>
              <w:pStyle w:val="TableContents"/>
              <w:bidi w:val="0"/>
              <w:spacing w:before="0" w:after="283"/>
              <w:jc w:val="left"/>
              <w:rPr/>
            </w:pPr>
            <w:r>
              <w:rPr/>
              <w:t> </w:t>
            </w:r>
          </w:p>
        </w:tc>
      </w:tr>
      <w:tr>
        <w:trPr/>
        <w:tc>
          <w:tcPr>
            <w:tcW w:w="61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50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1,250,000</w:t>
            </w:r>
          </w:p>
        </w:tc>
        <w:tc>
          <w:tcPr>
            <w:tcW w:w="6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reflects annualized base salary in effect at the end of fiscal 2024 for Mr. Goeckeler.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Short-Term Incentives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2024 Target Incentive Award Opportunities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2"/>
        <w:gridCol w:w="719"/>
        <w:gridCol w:w="237"/>
        <w:gridCol w:w="1512"/>
        <w:gridCol w:w="275"/>
        <w:gridCol w:w="661"/>
        <w:gridCol w:w="429"/>
        <w:gridCol w:w="1001"/>
        <w:gridCol w:w="279"/>
      </w:tblGrid>
      <w:tr>
        <w:trPr/>
        <w:tc>
          <w:tcPr>
            <w:tcW w:w="5092" w:type="dxa"/>
            <w:tcBorders/>
            <w:vAlign w:val="center"/>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1"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092" w:type="dxa"/>
            <w:tcBorders/>
            <w:vAlign w:val="bottom"/>
          </w:tcPr>
          <w:p>
            <w:pPr>
              <w:pStyle w:val="TableContents"/>
              <w:bidi w:val="0"/>
              <w:spacing w:before="0" w:after="283"/>
              <w:jc w:val="left"/>
              <w:rPr>
                <w:b/>
              </w:rPr>
            </w:pPr>
            <w:r>
              <w:rPr>
                <w:b/>
              </w:rPr>
              <w:t>Named Executive Officer</w:t>
            </w:r>
          </w:p>
        </w:tc>
        <w:tc>
          <w:tcPr>
            <w:tcW w:w="719" w:type="dxa"/>
            <w:tcBorders/>
            <w:vAlign w:val="bottom"/>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bottom"/>
          </w:tcPr>
          <w:p>
            <w:pPr>
              <w:pStyle w:val="TableContents"/>
              <w:bidi w:val="0"/>
              <w:spacing w:before="0" w:after="283"/>
              <w:jc w:val="center"/>
              <w:rPr/>
            </w:pPr>
            <w:r>
              <w:rPr>
                <w:b/>
              </w:rPr>
              <w:t>Annual Target</w:t>
            </w:r>
            <w:r>
              <w:rPr/>
              <w:br/>
            </w:r>
            <w:r>
              <w:rPr>
                <w:b/>
              </w:rPr>
              <w:t>Incentive Award</w:t>
            </w:r>
            <w:r>
              <w:rPr/>
              <w:br/>
            </w:r>
            <w:r>
              <w:rPr>
                <w:b/>
              </w:rPr>
              <w:t>Opportunity (1)</w:t>
            </w:r>
            <w:r>
              <w:rPr/>
              <w:br/>
            </w:r>
            <w:r>
              <w:rPr>
                <w:b/>
              </w:rPr>
              <w:t>(as Percentage of</w:t>
            </w:r>
            <w:r>
              <w:rPr/>
              <w:br/>
            </w:r>
            <w:r>
              <w:rPr>
                <w:b/>
              </w:rPr>
              <w:t>Base Salary)</w:t>
            </w:r>
          </w:p>
        </w:tc>
        <w:tc>
          <w:tcPr>
            <w:tcW w:w="275"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pPr>
            <w:r>
              <w:rPr>
                <w:b/>
              </w:rPr>
              <w:t>Increase from</w:t>
            </w:r>
            <w:r>
              <w:rPr/>
              <w:br/>
            </w:r>
            <w:r>
              <w:rPr>
                <w:b/>
              </w:rPr>
              <w:t>Fiscal 2023</w:t>
            </w:r>
          </w:p>
        </w:tc>
        <w:tc>
          <w:tcPr>
            <w:tcW w:w="279" w:type="dxa"/>
            <w:tcBorders/>
            <w:vAlign w:val="bottom"/>
          </w:tcPr>
          <w:p>
            <w:pPr>
              <w:pStyle w:val="TableContents"/>
              <w:bidi w:val="0"/>
              <w:spacing w:before="0" w:after="283"/>
              <w:jc w:val="left"/>
              <w:rPr/>
            </w:pPr>
            <w:r>
              <w:rPr/>
              <w:t> </w:t>
            </w:r>
          </w:p>
        </w:tc>
      </w:tr>
      <w:tr>
        <w:trPr/>
        <w:tc>
          <w:tcPr>
            <w:tcW w:w="50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71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12" w:type="dxa"/>
            <w:tcBorders/>
            <w:shd w:fill="CCEEFF" w:val="clear"/>
            <w:vAlign w:val="bottom"/>
          </w:tcPr>
          <w:p>
            <w:pPr>
              <w:pStyle w:val="TableContents"/>
              <w:bidi w:val="0"/>
              <w:spacing w:before="0" w:after="283"/>
              <w:jc w:val="right"/>
              <w:rPr/>
            </w:pPr>
            <w:r>
              <w:rPr/>
              <w:t>175</w:t>
            </w:r>
          </w:p>
        </w:tc>
        <w:tc>
          <w:tcPr>
            <w:tcW w:w="275"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reflects annual target incentive opportunity at the end of fiscal 2024 for Mr. Goeckeler.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2024 STI Design and Performance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more detail in the section entitled Updates to Fiscal 2024 Executive Compensation Program, the WDC Compensation and Talent Committee updated the STI design to reflect investor feedback during WDCs prior stockholder outreach and engagement. WDCs fiscal 2024 STI design is reflected below. The individual modifier component for each of its named executive officers, including Mr. Goeckeler, included goals tied to leadership, execution and ESG targets.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Individual Modifier may not increase award payout if WDCs non-GAAP operating income is below the minimum performance level.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2024 Corporate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WDC Compensation and Talent Committee approved fiscal 2024 performance targets that incentivized its executive officers to improve WDCs profitability and increase efficiency in converting working capital investments into cash. At the time the WDC Compensation and Talent Committee approved fiscal 2024 performance targets in August 2023, WDC was in the midst of a significant market downturn with uncertainty as to the timing and strength of a market recovery. In this context, the fiscal 2024 non-GAAP operating income metric still required improvement on fiscal 2023 results for its executive officers to receive any payout on this metric. The WDC Compensation and Talent Committee also approved a robust emissions target that aligns with WDCs public commitments around Scope 1 and Scope 2 emissions, which is an important factor for WDCs largest customers that are seeking to mitigate emissions within their supply chains.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WDC exceeded expectations relative to its fiscal 2024 targets, resulting in a 173.5% STI payout on the corporate performance metrics.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84070" cy="23101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84070" cy="2310130"/>
                    </a:xfrm>
                    <a:prstGeom prst="rect">
                      <a:avLst/>
                    </a:prstGeom>
                  </pic:spPr>
                </pic:pic>
              </a:graphicData>
            </a:graphic>
          </wp:inline>
        </w:drawing>
      </w:r>
      <w:r>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74"/>
        <w:gridCol w:w="497"/>
        <w:gridCol w:w="162"/>
        <w:gridCol w:w="1033"/>
        <w:gridCol w:w="275"/>
        <w:gridCol w:w="411"/>
        <w:gridCol w:w="315"/>
        <w:gridCol w:w="1030"/>
        <w:gridCol w:w="158"/>
      </w:tblGrid>
      <w:tr>
        <w:trPr/>
        <w:tc>
          <w:tcPr>
            <w:tcW w:w="3874"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74" w:type="dxa"/>
            <w:tcBorders/>
            <w:vAlign w:val="bottom"/>
          </w:tcPr>
          <w:p>
            <w:pPr>
              <w:pStyle w:val="TableContents"/>
              <w:bidi w:val="0"/>
              <w:spacing w:before="0" w:after="283"/>
              <w:jc w:val="left"/>
              <w:rPr>
                <w:b/>
              </w:rPr>
            </w:pPr>
            <w:r>
              <w:rPr>
                <w:b/>
              </w:rPr>
              <w:t>Non-GAAP Operating Income(1) (45% Weighting)</w:t>
            </w:r>
          </w:p>
        </w:tc>
        <w:tc>
          <w:tcPr>
            <w:tcW w:w="497"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345"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3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Performance Achievement</w:t>
            </w:r>
          </w:p>
        </w:tc>
        <w:tc>
          <w:tcPr>
            <w:tcW w:w="497"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STI Payout</w:t>
              <w:br/>
              <w:t>(% Target)</w:t>
            </w:r>
          </w:p>
        </w:tc>
        <w:tc>
          <w:tcPr>
            <w:tcW w:w="275"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 millions)</w:t>
            </w:r>
          </w:p>
        </w:tc>
        <w:tc>
          <w:tcPr>
            <w:tcW w:w="158"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Maximum</w:t>
            </w:r>
          </w:p>
        </w:tc>
        <w:tc>
          <w:tcPr>
            <w:tcW w:w="4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66</w:t>
            </w:r>
          </w:p>
        </w:tc>
        <w:tc>
          <w:tcPr>
            <w:tcW w:w="158" w:type="dxa"/>
            <w:tcBorders/>
            <w:shd w:fill="CCEEFF" w:val="clear"/>
            <w:vAlign w:val="bottom"/>
          </w:tcPr>
          <w:p>
            <w:pPr>
              <w:pStyle w:val="TableContents"/>
              <w:bidi w:val="0"/>
              <w:spacing w:before="0" w:after="283"/>
              <w:jc w:val="left"/>
              <w:rPr/>
            </w:pPr>
            <w:r>
              <w:rPr/>
              <w:t> </w:t>
            </w:r>
          </w:p>
        </w:tc>
      </w:tr>
      <w:tr>
        <w:trPr/>
        <w:tc>
          <w:tcPr>
            <w:tcW w:w="3874" w:type="dxa"/>
            <w:tcBorders/>
          </w:tcPr>
          <w:p>
            <w:pPr>
              <w:pStyle w:val="TableContents"/>
              <w:bidi w:val="0"/>
              <w:spacing w:before="0" w:after="0"/>
              <w:jc w:val="left"/>
              <w:rPr>
                <w:rFonts w:ascii="Times New Roman" w:hAnsi="Times New Roman"/>
                <w:b/>
                <w:sz w:val="20"/>
              </w:rPr>
            </w:pPr>
            <w:r>
              <w:rPr>
                <w:rFonts w:ascii="Times New Roman" w:hAnsi="Times New Roman"/>
                <w:b/>
                <w:sz w:val="20"/>
              </w:rPr>
              <w:t>Target</w:t>
            </w:r>
          </w:p>
        </w:tc>
        <w:tc>
          <w:tcPr>
            <w:tcW w:w="4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(195</w:t>
            </w:r>
          </w:p>
        </w:tc>
        <w:tc>
          <w:tcPr>
            <w:tcW w:w="158"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Minimum</w:t>
            </w:r>
          </w:p>
        </w:tc>
        <w:tc>
          <w:tcPr>
            <w:tcW w:w="4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(594</w:t>
            </w:r>
          </w:p>
        </w:tc>
        <w:tc>
          <w:tcPr>
            <w:tcW w:w="158" w:type="dxa"/>
            <w:tcBorders/>
            <w:shd w:fill="CCEEFF" w:val="clear"/>
            <w:vAlign w:val="bottom"/>
          </w:tcPr>
          <w:p>
            <w:pPr>
              <w:pStyle w:val="TableContents"/>
              <w:bidi w:val="0"/>
              <w:spacing w:before="0" w:after="283"/>
              <w:jc w:val="left"/>
              <w:rPr/>
            </w:pPr>
            <w:r>
              <w:rPr/>
              <w:t>) </w:t>
            </w:r>
          </w:p>
        </w:tc>
      </w:tr>
      <w:tr>
        <w:trPr/>
        <w:tc>
          <w:tcPr>
            <w:tcW w:w="3874" w:type="dxa"/>
            <w:tcBorders/>
          </w:tcPr>
          <w:p>
            <w:pPr>
              <w:pStyle w:val="TableContents"/>
              <w:bidi w:val="0"/>
              <w:spacing w:before="0" w:after="0"/>
              <w:jc w:val="left"/>
              <w:rPr>
                <w:rFonts w:ascii="Times New Roman" w:hAnsi="Times New Roman"/>
                <w:b/>
                <w:sz w:val="20"/>
              </w:rPr>
            </w:pPr>
            <w:r>
              <w:rPr>
                <w:rFonts w:ascii="Times New Roman" w:hAnsi="Times New Roman"/>
                <w:b/>
                <w:sz w:val="20"/>
              </w:rPr>
              <w:t>Actual</w:t>
            </w:r>
          </w:p>
        </w:tc>
        <w:tc>
          <w:tcPr>
            <w:tcW w:w="4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200</w:t>
            </w:r>
          </w:p>
        </w:tc>
        <w:tc>
          <w:tcPr>
            <w:tcW w:w="275"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512</w:t>
            </w:r>
          </w:p>
        </w:tc>
        <w:tc>
          <w:tcPr>
            <w:tcW w:w="15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Reconciliation of WDC Non-GAAP Financial Measures Used for Incentive Compensation for a reconciliation of GAAP operating income to non-GAAP operating income.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2113280" cy="2308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13280" cy="2308225"/>
                    </a:xfrm>
                    <a:prstGeom prst="rect">
                      <a:avLst/>
                    </a:prstGeom>
                  </pic:spPr>
                </pic:pic>
              </a:graphicData>
            </a:graphic>
          </wp:inline>
        </w:drawing>
      </w:r>
      <w:r>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4"/>
        <w:gridCol w:w="513"/>
        <w:gridCol w:w="162"/>
        <w:gridCol w:w="1038"/>
        <w:gridCol w:w="275"/>
        <w:gridCol w:w="425"/>
        <w:gridCol w:w="182"/>
        <w:gridCol w:w="1162"/>
        <w:gridCol w:w="64"/>
      </w:tblGrid>
      <w:tr>
        <w:trPr/>
        <w:tc>
          <w:tcPr>
            <w:tcW w:w="393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283"/>
              <w:jc w:val="left"/>
              <w:rPr>
                <w:b/>
              </w:rPr>
            </w:pPr>
            <w:r>
              <w:rPr>
                <w:b/>
              </w:rPr>
              <w:t>Cash Conversion Cycle (45% Weighting)</w:t>
            </w:r>
          </w:p>
        </w:tc>
        <w:tc>
          <w:tcPr>
            <w:tcW w:w="513" w:type="dxa"/>
            <w:tcBorders/>
            <w:vAlign w:val="bottom"/>
          </w:tcPr>
          <w:p>
            <w:pPr>
              <w:pStyle w:val="TableContents"/>
              <w:bidi w:val="0"/>
              <w:spacing w:before="0" w:after="283"/>
              <w:jc w:val="left"/>
              <w:rPr/>
            </w:pPr>
            <w:r>
              <w:rPr/>
              <w:t>  </w:t>
            </w:r>
          </w:p>
        </w:tc>
        <w:tc>
          <w:tcPr>
            <w:tcW w:w="120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344"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Performance Achievement</w:t>
            </w:r>
          </w:p>
        </w:tc>
        <w:tc>
          <w:tcPr>
            <w:tcW w:w="513"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STI Payout</w:t>
              <w:br/>
              <w:t>(% Target)</w:t>
            </w:r>
          </w:p>
        </w:tc>
        <w:tc>
          <w:tcPr>
            <w:tcW w:w="2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(Days)</w:t>
            </w:r>
          </w:p>
        </w:tc>
        <w:tc>
          <w:tcPr>
            <w:tcW w:w="64"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Maximum</w:t>
            </w:r>
          </w:p>
        </w:tc>
        <w:tc>
          <w:tcPr>
            <w:tcW w:w="51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97</w:t>
            </w:r>
          </w:p>
        </w:tc>
        <w:tc>
          <w:tcPr>
            <w:tcW w:w="64"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b/>
                <w:sz w:val="20"/>
              </w:rPr>
            </w:pPr>
            <w:r>
              <w:rPr>
                <w:rFonts w:ascii="Times New Roman" w:hAnsi="Times New Roman"/>
                <w:b/>
                <w:sz w:val="20"/>
              </w:rPr>
              <w:t>Target</w:t>
            </w:r>
          </w:p>
        </w:tc>
        <w:tc>
          <w:tcPr>
            <w:tcW w:w="51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39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Minimum</w:t>
            </w:r>
          </w:p>
        </w:tc>
        <w:tc>
          <w:tcPr>
            <w:tcW w:w="51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131</w:t>
            </w:r>
          </w:p>
        </w:tc>
        <w:tc>
          <w:tcPr>
            <w:tcW w:w="64" w:type="dxa"/>
            <w:tcBorders/>
            <w:shd w:fill="CCEEFF" w:val="clear"/>
            <w:vAlign w:val="bottom"/>
          </w:tcPr>
          <w:p>
            <w:pPr>
              <w:pStyle w:val="TableContents"/>
              <w:bidi w:val="0"/>
              <w:spacing w:before="0" w:after="283"/>
              <w:jc w:val="left"/>
              <w:rPr/>
            </w:pPr>
            <w:r>
              <w:rPr/>
              <w:t> </w:t>
            </w:r>
          </w:p>
        </w:tc>
      </w:tr>
      <w:tr>
        <w:trPr/>
        <w:tc>
          <w:tcPr>
            <w:tcW w:w="3934" w:type="dxa"/>
            <w:tcBorders/>
          </w:tcPr>
          <w:p>
            <w:pPr>
              <w:pStyle w:val="TableContents"/>
              <w:bidi w:val="0"/>
              <w:spacing w:before="0" w:after="0"/>
              <w:jc w:val="left"/>
              <w:rPr>
                <w:rFonts w:ascii="Times New Roman" w:hAnsi="Times New Roman"/>
                <w:b/>
                <w:sz w:val="20"/>
              </w:rPr>
            </w:pPr>
            <w:r>
              <w:rPr>
                <w:rFonts w:ascii="Times New Roman" w:hAnsi="Times New Roman"/>
                <w:b/>
                <w:sz w:val="20"/>
              </w:rPr>
              <w:t>Actual</w:t>
            </w:r>
          </w:p>
        </w:tc>
        <w:tc>
          <w:tcPr>
            <w:tcW w:w="51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141</w:t>
            </w:r>
          </w:p>
        </w:tc>
        <w:tc>
          <w:tcPr>
            <w:tcW w:w="2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075815" cy="22802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75815" cy="2280285"/>
                    </a:xfrm>
                    <a:prstGeom prst="rect">
                      <a:avLst/>
                    </a:prstGeom>
                  </pic:spPr>
                </pic:pic>
              </a:graphicData>
            </a:graphic>
          </wp:inline>
        </w:drawing>
      </w:r>
      <w:r>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47"/>
        <w:gridCol w:w="450"/>
        <w:gridCol w:w="162"/>
        <w:gridCol w:w="1037"/>
        <w:gridCol w:w="275"/>
        <w:gridCol w:w="363"/>
        <w:gridCol w:w="93"/>
        <w:gridCol w:w="1264"/>
        <w:gridCol w:w="64"/>
      </w:tblGrid>
      <w:tr>
        <w:trPr/>
        <w:tc>
          <w:tcPr>
            <w:tcW w:w="4047"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47" w:type="dxa"/>
            <w:tcBorders/>
            <w:vAlign w:val="bottom"/>
          </w:tcPr>
          <w:p>
            <w:pPr>
              <w:pStyle w:val="TableContents"/>
              <w:bidi w:val="0"/>
              <w:spacing w:before="0" w:after="283"/>
              <w:jc w:val="left"/>
              <w:rPr>
                <w:b/>
              </w:rPr>
            </w:pPr>
            <w:r>
              <w:rPr>
                <w:b/>
              </w:rPr>
              <w:t>Scope 1 and Scope 2 Emissions (10% Weighting)</w:t>
            </w:r>
          </w:p>
        </w:tc>
        <w:tc>
          <w:tcPr>
            <w:tcW w:w="450" w:type="dxa"/>
            <w:tcBorders/>
            <w:vAlign w:val="bottom"/>
          </w:tcPr>
          <w:p>
            <w:pPr>
              <w:pStyle w:val="TableContents"/>
              <w:bidi w:val="0"/>
              <w:spacing w:before="0" w:after="283"/>
              <w:jc w:val="left"/>
              <w:rPr/>
            </w:pPr>
            <w:r>
              <w:rPr/>
              <w:t>  </w:t>
            </w:r>
          </w:p>
        </w:tc>
        <w:tc>
          <w:tcPr>
            <w:tcW w:w="1199"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40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Performance Achievement</w:t>
            </w:r>
          </w:p>
        </w:tc>
        <w:tc>
          <w:tcPr>
            <w:tcW w:w="450"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STI Payout</w:t>
              <w:br/>
              <w:t>(% Target)</w:t>
            </w:r>
          </w:p>
        </w:tc>
        <w:tc>
          <w:tcPr>
            <w:tcW w:w="27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b/>
              </w:rPr>
              <w:t>Performance</w:t>
            </w:r>
            <w:r>
              <w:rPr/>
              <w:br/>
            </w:r>
            <w:r>
              <w:rPr>
                <w:b/>
              </w:rPr>
              <w:t>(Metric</w:t>
            </w:r>
            <w:r>
              <w:rPr/>
              <w:br/>
            </w:r>
            <w:r>
              <w:rPr>
                <w:b/>
              </w:rPr>
              <w:t>Tons of</w:t>
            </w:r>
            <w:r>
              <w:rPr/>
              <w:br/>
            </w:r>
            <w:r>
              <w:rPr>
                <w:b/>
              </w:rPr>
              <w:t>Carbon</w:t>
            </w:r>
            <w:r>
              <w:rPr/>
              <w:br/>
            </w:r>
            <w:r>
              <w:rPr>
                <w:b/>
              </w:rPr>
              <w:t>Dioxide</w:t>
            </w:r>
            <w:r>
              <w:rPr/>
              <w:br/>
            </w:r>
            <w:r>
              <w:rPr>
                <w:b/>
              </w:rPr>
              <w:t>Equivalent</w:t>
            </w:r>
            <w:r>
              <w:rPr/>
              <w:br/>
            </w:r>
            <w:r>
              <w:rPr>
                <w:b/>
              </w:rPr>
              <w:t>(CO2e))</w:t>
            </w:r>
          </w:p>
        </w:tc>
        <w:tc>
          <w:tcPr>
            <w:tcW w:w="64" w:type="dxa"/>
            <w:tcBorders/>
            <w:vAlign w:val="bottom"/>
          </w:tcPr>
          <w:p>
            <w:pPr>
              <w:pStyle w:val="TableContents"/>
              <w:bidi w:val="0"/>
              <w:spacing w:before="0" w:after="283"/>
              <w:jc w:val="left"/>
              <w:rPr/>
            </w:pPr>
            <w:r>
              <w:rPr/>
              <w:t> </w:t>
            </w:r>
          </w:p>
        </w:tc>
      </w:tr>
      <w:tr>
        <w:trPr/>
        <w:tc>
          <w:tcPr>
            <w:tcW w:w="40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Maximum</w:t>
            </w:r>
          </w:p>
        </w:tc>
        <w:tc>
          <w:tcPr>
            <w:tcW w:w="4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721,000</w:t>
            </w:r>
          </w:p>
        </w:tc>
        <w:tc>
          <w:tcPr>
            <w:tcW w:w="64" w:type="dxa"/>
            <w:tcBorders/>
            <w:shd w:fill="CCEEFF" w:val="clear"/>
            <w:vAlign w:val="bottom"/>
          </w:tcPr>
          <w:p>
            <w:pPr>
              <w:pStyle w:val="TableContents"/>
              <w:bidi w:val="0"/>
              <w:spacing w:before="0" w:after="283"/>
              <w:jc w:val="left"/>
              <w:rPr/>
            </w:pPr>
            <w:r>
              <w:rPr/>
              <w:t> </w:t>
            </w:r>
          </w:p>
        </w:tc>
      </w:tr>
      <w:tr>
        <w:trPr/>
        <w:tc>
          <w:tcPr>
            <w:tcW w:w="4047" w:type="dxa"/>
            <w:tcBorders/>
          </w:tcPr>
          <w:p>
            <w:pPr>
              <w:pStyle w:val="TableContents"/>
              <w:bidi w:val="0"/>
              <w:spacing w:before="0" w:after="0"/>
              <w:jc w:val="left"/>
              <w:rPr>
                <w:rFonts w:ascii="Times New Roman" w:hAnsi="Times New Roman"/>
                <w:b/>
                <w:sz w:val="20"/>
              </w:rPr>
            </w:pPr>
            <w:r>
              <w:rPr>
                <w:rFonts w:ascii="Times New Roman" w:hAnsi="Times New Roman"/>
                <w:b/>
                <w:sz w:val="20"/>
              </w:rPr>
              <w:t>Target</w:t>
            </w:r>
          </w:p>
        </w:tc>
        <w:tc>
          <w:tcPr>
            <w:tcW w:w="4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752,730</w:t>
            </w:r>
          </w:p>
        </w:tc>
        <w:tc>
          <w:tcPr>
            <w:tcW w:w="64" w:type="dxa"/>
            <w:tcBorders/>
            <w:vAlign w:val="bottom"/>
          </w:tcPr>
          <w:p>
            <w:pPr>
              <w:pStyle w:val="TableContents"/>
              <w:bidi w:val="0"/>
              <w:spacing w:before="0" w:after="283"/>
              <w:jc w:val="left"/>
              <w:rPr/>
            </w:pPr>
            <w:r>
              <w:rPr/>
              <w:t> </w:t>
            </w:r>
          </w:p>
        </w:tc>
      </w:tr>
      <w:tr>
        <w:trPr/>
        <w:tc>
          <w:tcPr>
            <w:tcW w:w="40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Threshold</w:t>
            </w:r>
          </w:p>
        </w:tc>
        <w:tc>
          <w:tcPr>
            <w:tcW w:w="4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773,000</w:t>
            </w:r>
          </w:p>
        </w:tc>
        <w:tc>
          <w:tcPr>
            <w:tcW w:w="64" w:type="dxa"/>
            <w:tcBorders/>
            <w:shd w:fill="CCEEFF" w:val="clear"/>
            <w:vAlign w:val="bottom"/>
          </w:tcPr>
          <w:p>
            <w:pPr>
              <w:pStyle w:val="TableContents"/>
              <w:bidi w:val="0"/>
              <w:spacing w:before="0" w:after="283"/>
              <w:jc w:val="left"/>
              <w:rPr/>
            </w:pPr>
            <w:r>
              <w:rPr/>
              <w:t> </w:t>
            </w:r>
          </w:p>
        </w:tc>
      </w:tr>
      <w:tr>
        <w:trPr/>
        <w:tc>
          <w:tcPr>
            <w:tcW w:w="4047" w:type="dxa"/>
            <w:tcBorders/>
          </w:tcPr>
          <w:p>
            <w:pPr>
              <w:pStyle w:val="TableContents"/>
              <w:bidi w:val="0"/>
              <w:spacing w:before="0" w:after="0"/>
              <w:jc w:val="left"/>
              <w:rPr>
                <w:rFonts w:ascii="Times New Roman" w:hAnsi="Times New Roman"/>
                <w:b/>
                <w:sz w:val="20"/>
              </w:rPr>
            </w:pPr>
            <w:r>
              <w:rPr>
                <w:rFonts w:ascii="Times New Roman" w:hAnsi="Times New Roman"/>
                <w:b/>
                <w:sz w:val="20"/>
              </w:rPr>
              <w:t>Actual</w:t>
            </w:r>
          </w:p>
        </w:tc>
        <w:tc>
          <w:tcPr>
            <w:tcW w:w="4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200</w:t>
            </w:r>
          </w:p>
        </w:tc>
        <w:tc>
          <w:tcPr>
            <w:tcW w:w="27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669,000</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payout for the corporate metrics was 173.5% of the target performance levels: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3"/>
        <w:gridCol w:w="120"/>
        <w:gridCol w:w="2426"/>
        <w:gridCol w:w="120"/>
        <w:gridCol w:w="2494"/>
        <w:gridCol w:w="120"/>
        <w:gridCol w:w="2212"/>
      </w:tblGrid>
      <w:tr>
        <w:trPr/>
        <w:tc>
          <w:tcPr>
            <w:tcW w:w="27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271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Non-GAAP Operating</w:t>
            </w:r>
          </w:p>
          <w:p>
            <w:pPr>
              <w:pStyle w:val="TableContents"/>
              <w:bidi w:val="0"/>
              <w:spacing w:before="0" w:after="0"/>
              <w:jc w:val="left"/>
              <w:rPr>
                <w:rFonts w:ascii="Times New Roman" w:hAnsi="Times New Roman"/>
                <w:b/>
                <w:sz w:val="16"/>
              </w:rPr>
            </w:pPr>
            <w:r>
              <w:rPr>
                <w:rFonts w:ascii="Times New Roman" w:hAnsi="Times New Roman"/>
                <w:b/>
                <w:sz w:val="16"/>
              </w:rPr>
              <w:t>Income Payout %</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(45% Weighting)</w:t>
            </w:r>
          </w:p>
        </w:tc>
        <w:tc>
          <w:tcPr>
            <w:tcW w:w="120" w:type="dxa"/>
            <w:tcBorders/>
            <w:vAlign w:val="bottom"/>
          </w:tcPr>
          <w:p>
            <w:pPr>
              <w:pStyle w:val="TableContents"/>
              <w:bidi w:val="0"/>
              <w:spacing w:before="0" w:after="283"/>
              <w:jc w:val="left"/>
              <w:rPr/>
            </w:pPr>
            <w:r>
              <w:rPr/>
              <w:t>  </w:t>
            </w:r>
          </w:p>
        </w:tc>
        <w:tc>
          <w:tcPr>
            <w:tcW w:w="242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Cash Conversion</w:t>
            </w:r>
          </w:p>
          <w:p>
            <w:pPr>
              <w:pStyle w:val="TableContents"/>
              <w:bidi w:val="0"/>
              <w:spacing w:before="0" w:after="0"/>
              <w:jc w:val="center"/>
              <w:rPr>
                <w:rFonts w:ascii="Times New Roman" w:hAnsi="Times New Roman"/>
                <w:b/>
                <w:sz w:val="16"/>
              </w:rPr>
            </w:pPr>
            <w:r>
              <w:rPr>
                <w:rFonts w:ascii="Times New Roman" w:hAnsi="Times New Roman"/>
                <w:b/>
                <w:sz w:val="16"/>
              </w:rPr>
              <w:t>Cycle Payout %</w:t>
            </w:r>
          </w:p>
          <w:p>
            <w:pPr>
              <w:pStyle w:val="TableContents"/>
              <w:bidi w:val="0"/>
              <w:spacing w:before="0" w:after="20"/>
              <w:jc w:val="center"/>
              <w:rPr>
                <w:rFonts w:ascii="Times New Roman" w:hAnsi="Times New Roman"/>
                <w:b/>
                <w:sz w:val="16"/>
              </w:rPr>
            </w:pPr>
            <w:r>
              <w:rPr>
                <w:rFonts w:ascii="Times New Roman" w:hAnsi="Times New Roman"/>
                <w:b/>
                <w:sz w:val="16"/>
              </w:rPr>
              <w:t>(45% Weighting)</w:t>
            </w:r>
          </w:p>
        </w:tc>
        <w:tc>
          <w:tcPr>
            <w:tcW w:w="120" w:type="dxa"/>
            <w:tcBorders/>
            <w:vAlign w:val="bottom"/>
          </w:tcPr>
          <w:p>
            <w:pPr>
              <w:pStyle w:val="TableContents"/>
              <w:bidi w:val="0"/>
              <w:spacing w:before="0" w:after="283"/>
              <w:jc w:val="left"/>
              <w:rPr/>
            </w:pPr>
            <w:r>
              <w:rPr/>
              <w:t>  </w:t>
            </w:r>
          </w:p>
        </w:tc>
        <w:tc>
          <w:tcPr>
            <w:tcW w:w="249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Scope 1 and Scope 2</w:t>
            </w:r>
          </w:p>
          <w:p>
            <w:pPr>
              <w:pStyle w:val="TableContents"/>
              <w:bidi w:val="0"/>
              <w:spacing w:before="0" w:after="0"/>
              <w:jc w:val="center"/>
              <w:rPr>
                <w:rFonts w:ascii="Times New Roman" w:hAnsi="Times New Roman"/>
                <w:b/>
                <w:sz w:val="16"/>
              </w:rPr>
            </w:pPr>
            <w:r>
              <w:rPr>
                <w:rFonts w:ascii="Times New Roman" w:hAnsi="Times New Roman"/>
                <w:b/>
                <w:sz w:val="16"/>
              </w:rPr>
              <w:t>Emissions Payout %</w:t>
            </w:r>
          </w:p>
          <w:p>
            <w:pPr>
              <w:pStyle w:val="TableContents"/>
              <w:bidi w:val="0"/>
              <w:spacing w:before="0" w:after="20"/>
              <w:jc w:val="center"/>
              <w:rPr>
                <w:rFonts w:ascii="Times New Roman" w:hAnsi="Times New Roman"/>
                <w:b/>
                <w:sz w:val="16"/>
              </w:rPr>
            </w:pPr>
            <w:r>
              <w:rPr>
                <w:rFonts w:ascii="Times New Roman" w:hAnsi="Times New Roman"/>
                <w:b/>
                <w:sz w:val="16"/>
              </w:rPr>
              <w:t>(10% Weighting)</w:t>
            </w:r>
          </w:p>
        </w:tc>
        <w:tc>
          <w:tcPr>
            <w:tcW w:w="120" w:type="dxa"/>
            <w:tcBorders/>
            <w:vAlign w:val="bottom"/>
          </w:tcPr>
          <w:p>
            <w:pPr>
              <w:pStyle w:val="TableContents"/>
              <w:bidi w:val="0"/>
              <w:spacing w:before="0" w:after="283"/>
              <w:jc w:val="left"/>
              <w:rPr/>
            </w:pPr>
            <w:r>
              <w:rPr/>
              <w:t>  </w:t>
            </w:r>
          </w:p>
        </w:tc>
        <w:tc>
          <w:tcPr>
            <w:tcW w:w="221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Corporate</w:t>
            </w:r>
          </w:p>
          <w:p>
            <w:pPr>
              <w:pStyle w:val="TableContents"/>
              <w:bidi w:val="0"/>
              <w:spacing w:before="0" w:after="0"/>
              <w:jc w:val="center"/>
              <w:rPr>
                <w:rFonts w:ascii="Times New Roman" w:hAnsi="Times New Roman"/>
                <w:b/>
                <w:sz w:val="16"/>
              </w:rPr>
            </w:pPr>
            <w:r>
              <w:rPr>
                <w:rFonts w:ascii="Times New Roman" w:hAnsi="Times New Roman"/>
                <w:b/>
                <w:sz w:val="16"/>
              </w:rPr>
              <w:t>Payout%</w:t>
            </w:r>
          </w:p>
          <w:p>
            <w:pPr>
              <w:pStyle w:val="TableContents"/>
              <w:bidi w:val="0"/>
              <w:spacing w:before="0" w:after="20"/>
              <w:jc w:val="center"/>
              <w:rPr>
                <w:rFonts w:ascii="Times New Roman" w:hAnsi="Times New Roman"/>
                <w:b/>
                <w:sz w:val="16"/>
              </w:rPr>
            </w:pPr>
            <w:r>
              <w:rPr>
                <w:rFonts w:ascii="Times New Roman" w:hAnsi="Times New Roman"/>
                <w:b/>
                <w:sz w:val="16"/>
              </w:rPr>
              <w:t>(100%)</w:t>
            </w:r>
          </w:p>
        </w:tc>
      </w:tr>
      <w:tr>
        <w:trPr/>
        <w:tc>
          <w:tcPr>
            <w:tcW w:w="271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200%    </w:t>
            </w:r>
          </w:p>
        </w:tc>
        <w:tc>
          <w:tcPr>
            <w:tcW w:w="120" w:type="dxa"/>
            <w:tcBorders/>
            <w:shd w:fill="CCEEFF" w:val="clear"/>
            <w:vAlign w:val="bottom"/>
          </w:tcPr>
          <w:p>
            <w:pPr>
              <w:pStyle w:val="TableContents"/>
              <w:bidi w:val="0"/>
              <w:spacing w:before="0" w:after="283"/>
              <w:jc w:val="left"/>
              <w:rPr/>
            </w:pPr>
            <w:r>
              <w:rPr/>
              <w:t>  </w:t>
            </w:r>
          </w:p>
        </w:tc>
        <w:tc>
          <w:tcPr>
            <w:tcW w:w="2426" w:type="dxa"/>
            <w:tcBorders/>
            <w:shd w:fill="CCEEFF" w:val="clear"/>
            <w:vAlign w:val="bottom"/>
          </w:tcPr>
          <w:p>
            <w:pPr>
              <w:pStyle w:val="TableContents"/>
              <w:bidi w:val="0"/>
              <w:spacing w:before="0" w:after="283"/>
              <w:jc w:val="center"/>
              <w:rPr/>
            </w:pPr>
            <w:r>
              <w:rPr/>
              <w:t>141%</w:t>
            </w:r>
          </w:p>
        </w:tc>
        <w:tc>
          <w:tcPr>
            <w:tcW w:w="120" w:type="dxa"/>
            <w:tcBorders/>
            <w:shd w:fill="CCEEFF" w:val="clear"/>
            <w:vAlign w:val="bottom"/>
          </w:tcPr>
          <w:p>
            <w:pPr>
              <w:pStyle w:val="TableContents"/>
              <w:bidi w:val="0"/>
              <w:spacing w:before="0" w:after="283"/>
              <w:jc w:val="left"/>
              <w:rPr/>
            </w:pPr>
            <w:r>
              <w:rPr/>
              <w:t>  </w:t>
            </w:r>
          </w:p>
        </w:tc>
        <w:tc>
          <w:tcPr>
            <w:tcW w:w="2494" w:type="dxa"/>
            <w:tcBorders/>
            <w:shd w:fill="CCEEFF" w:val="clear"/>
            <w:vAlign w:val="bottom"/>
          </w:tcPr>
          <w:p>
            <w:pPr>
              <w:pStyle w:val="TableContents"/>
              <w:bidi w:val="0"/>
              <w:spacing w:before="0" w:after="283"/>
              <w:jc w:val="center"/>
              <w:rPr/>
            </w:pPr>
            <w:r>
              <w:rPr/>
              <w:t>200%</w:t>
            </w:r>
          </w:p>
        </w:tc>
        <w:tc>
          <w:tcPr>
            <w:tcW w:w="120" w:type="dxa"/>
            <w:tcBorders/>
            <w:shd w:fill="CCEEFF" w:val="clear"/>
            <w:vAlign w:val="bottom"/>
          </w:tcPr>
          <w:p>
            <w:pPr>
              <w:pStyle w:val="TableContents"/>
              <w:bidi w:val="0"/>
              <w:spacing w:before="0" w:after="283"/>
              <w:jc w:val="left"/>
              <w:rPr/>
            </w:pPr>
            <w:r>
              <w:rPr/>
              <w:t>  </w:t>
            </w:r>
          </w:p>
        </w:tc>
        <w:tc>
          <w:tcPr>
            <w:tcW w:w="2212" w:type="dxa"/>
            <w:tcBorders/>
            <w:shd w:fill="CCEEFF" w:val="clear"/>
            <w:vAlign w:val="bottom"/>
          </w:tcPr>
          <w:p>
            <w:pPr>
              <w:pStyle w:val="TableContents"/>
              <w:bidi w:val="0"/>
              <w:spacing w:before="0" w:after="283"/>
              <w:jc w:val="center"/>
              <w:rPr/>
            </w:pPr>
            <w:r>
              <w:rPr/>
              <w:t>173.5%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2024 Individual Performance Modifier </w:t>
      </w:r>
    </w:p>
    <w:p>
      <w:pPr>
        <w:pStyle w:val="TextBody"/>
        <w:bidi w:val="0"/>
        <w:spacing w:before="120" w:after="0"/>
        <w:jc w:val="left"/>
        <w:rPr>
          <w:rFonts w:ascii="Times New Roman" w:hAnsi="Times New Roman"/>
          <w:b/>
          <w:sz w:val="20"/>
        </w:rPr>
      </w:pPr>
      <w:r>
        <w:rPr>
          <w:rFonts w:ascii="Times New Roman" w:hAnsi="Times New Roman"/>
          <w:b/>
          <w:sz w:val="20"/>
        </w:rPr>
        <w:t xml:space="preserve">Performance Goal Setting </w:t>
      </w:r>
    </w:p>
    <w:p>
      <w:pPr>
        <w:pStyle w:val="TextBody"/>
        <w:bidi w:val="0"/>
        <w:spacing w:before="120" w:after="0"/>
        <w:jc w:val="left"/>
        <w:rPr>
          <w:rFonts w:ascii="Times New Roman" w:hAnsi="Times New Roman"/>
          <w:sz w:val="20"/>
        </w:rPr>
      </w:pPr>
      <w:r>
        <w:rPr>
          <w:rFonts w:ascii="Times New Roman" w:hAnsi="Times New Roman"/>
          <w:sz w:val="20"/>
        </w:rPr>
        <w:t xml:space="preserve">The individual performance modifier for each WDC named executive officers target incentive award opportunity was split equally between leadership, execution and ESG goals. WDCs named executive officers (other than WDCs CEO) worked with WDCs CEO to establish individual performance goals, with input from the WDC Compensation and Talent Committee. Mr. Goeckeler separately submitted his fiscal 2024 performance goals for the WDC Compensation and Talent Committees review, with input from the WDC Board of Directors. These performance goals are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Performance Assessment </w:t>
      </w:r>
    </w:p>
    <w:p>
      <w:pPr>
        <w:pStyle w:val="TextBody"/>
        <w:bidi w:val="0"/>
        <w:spacing w:before="120" w:after="0"/>
        <w:jc w:val="left"/>
        <w:rPr>
          <w:rFonts w:ascii="Times New Roman" w:hAnsi="Times New Roman"/>
          <w:sz w:val="20"/>
        </w:rPr>
      </w:pPr>
      <w:r>
        <w:rPr>
          <w:rFonts w:ascii="Times New Roman" w:hAnsi="Times New Roman"/>
          <w:sz w:val="20"/>
        </w:rPr>
        <w:t xml:space="preserve">David V. Goeckeler (+14% Individual Modifier) </w:t>
      </w:r>
    </w:p>
    <w:p>
      <w:pPr>
        <w:pStyle w:val="TextBody"/>
        <w:bidi w:val="0"/>
        <w:spacing w:before="240" w:after="0"/>
        <w:jc w:val="left"/>
        <w:rPr>
          <w:rFonts w:ascii="Times New Roman" w:hAnsi="Times New Roman"/>
          <w:i/>
          <w:sz w:val="20"/>
        </w:rPr>
      </w:pPr>
      <w:r>
        <w:rPr>
          <w:rFonts w:ascii="Times New Roman" w:hAnsi="Times New Roman"/>
          <w:i/>
          <w:sz w:val="20"/>
        </w:rPr>
        <w:t xml:space="preserve">Leadership Goals and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Exceptional leadership for WDC to deliver exceptional financial results and guide the executive team through the separation process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 communication of WDCs strategic vision to investors and other stakeholders, including government officials, around the globe, especially in countries with major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Maintained an effective relationship with Kioxia, our flash joint venture partner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Execution Goals and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Led WDCs business through challenging down-cycle to improved business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Supported financial transactions that position WDC for further financial success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ESG Goals and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Year-over-year increase in underrepresented talent in new-hire graduates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Year-over-year increase in intern conversions (not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Year-over-year increase in employee volunteer participation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Ensured all employees completed ethics training on a timely basis (achieved)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WDC Compensation and Talent Committees individual performance determinations, Mr. Goeckeler received the following payout amounts under the WDC STI plan for fiscal 2024: </w:t>
      </w:r>
    </w:p>
    <w:p>
      <w:pPr>
        <w:pStyle w:val="TextBody"/>
        <w:bidi w:val="0"/>
        <w:spacing w:before="360" w:after="0"/>
        <w:jc w:val="left"/>
        <w:rPr>
          <w:rFonts w:ascii="Times New Roman" w:hAnsi="Times New Roman"/>
          <w:b/>
          <w:sz w:val="20"/>
        </w:rPr>
      </w:pPr>
      <w:r>
        <w:rPr>
          <w:rFonts w:ascii="Times New Roman" w:hAnsi="Times New Roman"/>
          <w:b/>
          <w:sz w:val="20"/>
        </w:rPr>
        <w:t xml:space="preserve">Fiscal 2024 STI Payouts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89"/>
        <w:gridCol w:w="292"/>
        <w:gridCol w:w="105"/>
        <w:gridCol w:w="1013"/>
        <w:gridCol w:w="280"/>
        <w:gridCol w:w="207"/>
        <w:gridCol w:w="150"/>
        <w:gridCol w:w="996"/>
        <w:gridCol w:w="280"/>
        <w:gridCol w:w="207"/>
        <w:gridCol w:w="100"/>
        <w:gridCol w:w="642"/>
        <w:gridCol w:w="280"/>
        <w:gridCol w:w="207"/>
        <w:gridCol w:w="60"/>
        <w:gridCol w:w="1013"/>
        <w:gridCol w:w="67"/>
      </w:tblGrid>
      <w:tr>
        <w:trPr/>
        <w:tc>
          <w:tcPr>
            <w:tcW w:w="3489"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292"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pPr>
            <w:r>
              <w:rPr>
                <w:b/>
              </w:rPr>
              <w:t>Corporate</w:t>
              <w:br/>
              <w:t>Payout %</w:t>
            </w:r>
            <w:r>
              <w:rPr/>
              <w:br/>
            </w:r>
            <w:r>
              <w:rPr>
                <w:b/>
              </w:rPr>
              <w:t>(100%</w:t>
              <w:br/>
              <w:t>Weighting)</w:t>
            </w:r>
          </w:p>
        </w:tc>
        <w:tc>
          <w:tcPr>
            <w:tcW w:w="28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pPr>
            <w:r>
              <w:rPr>
                <w:b/>
              </w:rPr>
              <w:t>Modifier%</w:t>
            </w:r>
            <w:r>
              <w:rPr/>
              <w:br/>
            </w:r>
            <w:r>
              <w:rPr>
                <w:b/>
              </w:rPr>
              <w:t>(+/-25% of</w:t>
              <w:br/>
              <w:t>Corporate</w:t>
            </w:r>
            <w:r>
              <w:rPr/>
              <w:br/>
            </w:r>
            <w:r>
              <w:rPr>
                <w:b/>
              </w:rPr>
              <w:t>Payout)</w:t>
            </w:r>
          </w:p>
        </w:tc>
        <w:tc>
          <w:tcPr>
            <w:tcW w:w="28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pPr>
            <w:r>
              <w:rPr>
                <w:b/>
              </w:rPr>
              <w:t>STI</w:t>
            </w:r>
            <w:r>
              <w:rPr/>
              <w:br/>
            </w:r>
            <w:r>
              <w:rPr>
                <w:b/>
              </w:rPr>
              <w:t>Payout</w:t>
            </w:r>
            <w:r>
              <w:rPr/>
              <w:br/>
            </w:r>
            <w:r>
              <w:rPr>
                <w:b/>
              </w:rPr>
              <w:t>(%)</w:t>
            </w:r>
          </w:p>
        </w:tc>
        <w:tc>
          <w:tcPr>
            <w:tcW w:w="28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pPr>
            <w:r>
              <w:rPr>
                <w:b/>
              </w:rPr>
              <w:t>STI Payout</w:t>
            </w:r>
            <w:r>
              <w:rPr/>
              <w:br/>
            </w:r>
            <w:r>
              <w:rPr>
                <w:b/>
              </w:rPr>
              <w:t>($)</w:t>
            </w:r>
          </w:p>
        </w:tc>
        <w:tc>
          <w:tcPr>
            <w:tcW w:w="67"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29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173.5</w:t>
            </w:r>
          </w:p>
        </w:tc>
        <w:tc>
          <w:tcPr>
            <w:tcW w:w="28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+14</w:t>
            </w:r>
          </w:p>
        </w:tc>
        <w:tc>
          <w:tcPr>
            <w:tcW w:w="28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198</w:t>
            </w:r>
          </w:p>
        </w:tc>
        <w:tc>
          <w:tcPr>
            <w:tcW w:w="28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4,326,875</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Average CEO STI Payout (Four Year Payout %) </w:t>
      </w:r>
    </w:p>
    <w:p>
      <w:pPr>
        <w:pStyle w:val="TextBody"/>
        <w:bidi w:val="0"/>
        <w:spacing w:before="120" w:after="0"/>
        <w:jc w:val="left"/>
        <w:rPr>
          <w:rFonts w:ascii="Times New Roman" w:hAnsi="Times New Roman"/>
          <w:sz w:val="20"/>
        </w:rPr>
      </w:pPr>
      <w:r>
        <w:rPr>
          <w:rFonts w:ascii="Times New Roman" w:hAnsi="Times New Roman"/>
          <w:sz w:val="20"/>
        </w:rPr>
        <w:t xml:space="preserve">The fiscal 2024 STI payout reflects WDCs pay-for-performance philosophy in the context of its strong fiscal 2024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Incentives: Fiscal 2024 Equity Awards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2024 Long-term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 received long-term incentive (the LTI) awards in August 2023 consisting of a mix of PSUs and RSUs. The table below summarizes the LTI mix awarded to Mr. Goeckeler, in his capacity as WDCs CEO, for fiscal 2024. The RSUs are scheduled to vest with respect to 25% of the award on the first anniversary of the grant date and with respect to 6.25% of the award quarterly thereafter for three years. The vesting provisions of the PSUs are described below under the section entitled Fiscal 2024-2026 PSU Awards.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6"/>
        <w:gridCol w:w="344"/>
        <w:gridCol w:w="92"/>
        <w:gridCol w:w="1778"/>
        <w:gridCol w:w="60"/>
        <w:gridCol w:w="344"/>
        <w:gridCol w:w="107"/>
        <w:gridCol w:w="472"/>
        <w:gridCol w:w="486"/>
        <w:gridCol w:w="330"/>
        <w:gridCol w:w="112"/>
        <w:gridCol w:w="495"/>
        <w:gridCol w:w="279"/>
      </w:tblGrid>
      <w:tr>
        <w:trPr/>
        <w:tc>
          <w:tcPr>
            <w:tcW w:w="5306"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306"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Officer(1)</w:t>
            </w:r>
          </w:p>
        </w:tc>
        <w:tc>
          <w:tcPr>
            <w:tcW w:w="344" w:type="dxa"/>
            <w:vMerge w:val="restart"/>
            <w:tcBorders/>
            <w:vAlign w:val="bottom"/>
          </w:tcPr>
          <w:p>
            <w:pPr>
              <w:pStyle w:val="TableContents"/>
              <w:bidi w:val="0"/>
              <w:spacing w:before="0" w:after="283"/>
              <w:jc w:val="left"/>
              <w:rPr/>
            </w:pPr>
            <w:r>
              <w:rPr/>
              <w:t>  </w:t>
            </w:r>
          </w:p>
        </w:tc>
        <w:tc>
          <w:tcPr>
            <w:tcW w:w="18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LTI Target</w:t>
            </w:r>
            <w:r>
              <w:rPr/>
              <w:br/>
            </w:r>
            <w:r>
              <w:rPr>
                <w:b/>
              </w:rPr>
              <w:t>Grant Value</w:t>
            </w:r>
            <w:r>
              <w:rPr/>
              <w:br/>
            </w:r>
            <w:r>
              <w:rPr>
                <w:b/>
              </w:rPr>
              <w:t>($)(1)</w:t>
            </w:r>
          </w:p>
        </w:tc>
        <w:tc>
          <w:tcPr>
            <w:tcW w:w="60" w:type="dxa"/>
            <w:vMerge w:val="restart"/>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0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LTI Vehicle Mix</w:t>
            </w:r>
          </w:p>
        </w:tc>
        <w:tc>
          <w:tcPr>
            <w:tcW w:w="279" w:type="dxa"/>
            <w:tcBorders/>
            <w:vAlign w:val="bottom"/>
          </w:tcPr>
          <w:p>
            <w:pPr>
              <w:pStyle w:val="TableContents"/>
              <w:bidi w:val="0"/>
              <w:spacing w:before="0" w:after="283"/>
              <w:jc w:val="left"/>
              <w:rPr/>
            </w:pPr>
            <w:r>
              <w:rPr/>
              <w:t> </w:t>
            </w:r>
          </w:p>
        </w:tc>
      </w:tr>
      <w:tr>
        <w:trPr/>
        <w:tc>
          <w:tcPr>
            <w:tcW w:w="5306" w:type="dxa"/>
            <w:vMerge w:val="continue"/>
            <w:tcBorders/>
            <w:vAlign w:val="bottom"/>
          </w:tcPr>
          <w:p>
            <w:pPr>
              <w:pStyle w:val="Normal"/>
              <w:bidi w:val="0"/>
              <w:jc w:val="left"/>
              <w:rPr/>
            </w:pPr>
            <w:r>
              <w:rPr/>
            </w:r>
          </w:p>
        </w:tc>
        <w:tc>
          <w:tcPr>
            <w:tcW w:w="344" w:type="dxa"/>
            <w:vMerge w:val="continue"/>
            <w:tcBorders/>
            <w:vAlign w:val="bottom"/>
          </w:tcPr>
          <w:p>
            <w:pPr>
              <w:pStyle w:val="Normal"/>
              <w:bidi w:val="0"/>
              <w:jc w:val="left"/>
              <w:rPr/>
            </w:pPr>
            <w:r>
              <w:rPr/>
            </w:r>
          </w:p>
        </w:tc>
        <w:tc>
          <w:tcPr>
            <w:tcW w:w="187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44" w:type="dxa"/>
            <w:tcBorders/>
            <w:vAlign w:val="bottom"/>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PSUs</w:t>
            </w:r>
          </w:p>
        </w:tc>
        <w:tc>
          <w:tcPr>
            <w:tcW w:w="486"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RSUs</w:t>
            </w:r>
          </w:p>
        </w:tc>
        <w:tc>
          <w:tcPr>
            <w:tcW w:w="279" w:type="dxa"/>
            <w:tcBorders/>
            <w:vAlign w:val="bottom"/>
          </w:tcPr>
          <w:p>
            <w:pPr>
              <w:pStyle w:val="TableContents"/>
              <w:bidi w:val="0"/>
              <w:spacing w:before="0" w:after="283"/>
              <w:jc w:val="left"/>
              <w:rPr/>
            </w:pPr>
            <w:r>
              <w:rPr/>
              <w:t> </w:t>
            </w:r>
          </w:p>
        </w:tc>
      </w:tr>
      <w:tr>
        <w:trPr/>
        <w:tc>
          <w:tcPr>
            <w:tcW w:w="53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34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78"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60</w:t>
            </w:r>
          </w:p>
        </w:tc>
        <w:tc>
          <w:tcPr>
            <w:tcW w:w="48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right"/>
              <w:rPr/>
            </w:pPr>
            <w:r>
              <w:rPr/>
              <w:t>40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differences between the target grant values approved by the WDC Compensation and Talent Committee (as reflected in the table above) and the grant date fair values of the awards as determined for financial reporting purposes (as reflected in the Fiscal 2024 Summary Compensation Table and the Fiscal 2024 Grants of Plan-Based Awards Table below) are attributable to financial accounting rules, including the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of a Monte Carlo simulation to determine the grant date fair value of the PSUs. In addition, under financial accounting rules, the grant date fair value for a PSU award is not determined until the fiscal year in which the performance metrics are established. The performance metrics are determined annually by the WDC Compensation and Talent Committee for each of fiscal 2024, 2025 and 2025. Accordingly, only the grant date fair value for the portion attributable to fiscal 2024 is reflected in the Fiscal 2024 Summary Compensation Table and the Fiscal 2024 Grants of Plan-Based Awards Table for this portion of the award.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Long-Term Incentives: PSU Design and Performance Prior to the Separation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20242026 PSU and Fiscal 20232025 PSU Awards </w:t>
      </w:r>
    </w:p>
    <w:p>
      <w:pPr>
        <w:pStyle w:val="TextBody"/>
        <w:bidi w:val="0"/>
        <w:spacing w:before="120" w:after="0"/>
        <w:jc w:val="left"/>
        <w:rPr>
          <w:rFonts w:ascii="Times New Roman" w:hAnsi="Times New Roman"/>
          <w:sz w:val="20"/>
        </w:rPr>
      </w:pPr>
      <w:r>
        <w:rPr>
          <w:rFonts w:ascii="Times New Roman" w:hAnsi="Times New Roman"/>
          <w:sz w:val="20"/>
        </w:rPr>
        <w:t xml:space="preserve">The tables below summarize the terms of PSU awards approved by the WDC Compensation and Talent Committee prior to the separation. These awards included annual financial metrics with annual payouts that are averaged to determine a three-year payout percentage. Pursuant to the employee matters agreement entered into by and between WDC and Sandisk effective February 21, 2025, the fiscal 2024-2026 and fiscal 2023-2025 PSU Awards were converted to time-based Sandisk RSUs, assumed under the Sandisk 2025 Long-Term Incentive Plan and are no longer subject to performance-based vesting conditions.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21350" cy="10153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21350" cy="10153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Fiscal 2024-2026 PSU Performance (Year One of Three)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8"/>
        <w:gridCol w:w="150"/>
        <w:gridCol w:w="86"/>
        <w:gridCol w:w="991"/>
        <w:gridCol w:w="155"/>
        <w:gridCol w:w="93"/>
        <w:gridCol w:w="60"/>
        <w:gridCol w:w="688"/>
        <w:gridCol w:w="155"/>
        <w:gridCol w:w="93"/>
        <w:gridCol w:w="86"/>
        <w:gridCol w:w="991"/>
        <w:gridCol w:w="155"/>
        <w:gridCol w:w="93"/>
        <w:gridCol w:w="108"/>
        <w:gridCol w:w="1241"/>
        <w:gridCol w:w="155"/>
        <w:gridCol w:w="93"/>
        <w:gridCol w:w="181"/>
        <w:gridCol w:w="1170"/>
        <w:gridCol w:w="275"/>
        <w:gridCol w:w="93"/>
        <w:gridCol w:w="137"/>
        <w:gridCol w:w="873"/>
        <w:gridCol w:w="285"/>
      </w:tblGrid>
      <w:tr>
        <w:trPr/>
        <w:tc>
          <w:tcPr>
            <w:tcW w:w="1798"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7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Metrics</w:t>
            </w:r>
          </w:p>
        </w:tc>
        <w:tc>
          <w:tcPr>
            <w:tcW w:w="150"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pPr>
            <w:r>
              <w:rPr>
                <w:b/>
              </w:rPr>
              <w:t>Threshold</w:t>
            </w:r>
            <w:r>
              <w:rPr/>
              <w:br/>
            </w:r>
            <w:r>
              <w:rPr>
                <w:b/>
              </w:rPr>
              <w:t>(50%)</w:t>
            </w:r>
            <w:r>
              <w:rPr/>
              <w:br/>
            </w:r>
            <w:r>
              <w:rPr>
                <w:b/>
              </w:rPr>
              <w:t>($)</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bottom"/>
          </w:tcPr>
          <w:p>
            <w:pPr>
              <w:pStyle w:val="TableContents"/>
              <w:bidi w:val="0"/>
              <w:spacing w:before="0" w:after="283"/>
              <w:jc w:val="center"/>
              <w:rPr/>
            </w:pPr>
            <w:r>
              <w:rPr>
                <w:b/>
              </w:rPr>
              <w:t>Target</w:t>
            </w:r>
            <w:r>
              <w:rPr/>
              <w:br/>
            </w:r>
            <w:r>
              <w:rPr>
                <w:b/>
              </w:rPr>
              <w:t>(100%)</w:t>
            </w:r>
            <w:r>
              <w:rPr/>
              <w:br/>
            </w:r>
            <w:r>
              <w:rPr>
                <w:b/>
              </w:rPr>
              <w:t>($)</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(200%)</w:t>
            </w:r>
            <w:r>
              <w:rPr/>
              <w:br/>
            </w:r>
            <w:r>
              <w:rPr>
                <w:b/>
              </w:rPr>
              <w:t>($)</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pPr>
            <w:r>
              <w:rPr>
                <w:b/>
              </w:rPr>
              <w:t>Actual</w:t>
            </w:r>
            <w:r>
              <w:rPr/>
              <w:br/>
            </w:r>
            <w:r>
              <w:rPr>
                <w:b/>
              </w:rPr>
              <w:t>Performance</w:t>
            </w:r>
            <w:r>
              <w:rPr/>
              <w:br/>
            </w:r>
            <w:r>
              <w:rPr>
                <w:b/>
              </w:rPr>
              <w:t>($)</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pPr>
            <w:r>
              <w:rPr>
                <w:b/>
              </w:rPr>
              <w:t>Achievement</w:t>
            </w:r>
            <w:r>
              <w:rPr/>
              <w:br/>
            </w:r>
            <w:r>
              <w:rPr>
                <w:b/>
              </w:rPr>
              <w:t>Rate</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Year One</w:t>
            </w:r>
            <w:r>
              <w:rPr/>
              <w:br/>
            </w:r>
            <w:r>
              <w:rPr>
                <w:b/>
              </w:rPr>
              <w:t>Payout%</w:t>
            </w:r>
          </w:p>
        </w:tc>
        <w:tc>
          <w:tcPr>
            <w:tcW w:w="285" w:type="dxa"/>
            <w:tcBorders/>
            <w:vAlign w:val="bottom"/>
          </w:tcPr>
          <w:p>
            <w:pPr>
              <w:pStyle w:val="TableContents"/>
              <w:bidi w:val="0"/>
              <w:spacing w:before="0" w:after="283"/>
              <w:jc w:val="left"/>
              <w:rPr/>
            </w:pPr>
            <w:r>
              <w:rPr/>
              <w:t> </w:t>
            </w:r>
          </w:p>
        </w:tc>
      </w:tr>
      <w:tr>
        <w:trPr/>
        <w:tc>
          <w:tcPr>
            <w:tcW w:w="1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One-Year Revenue</w:t>
            </w:r>
          </w:p>
          <w:p>
            <w:pPr>
              <w:pStyle w:val="TableContents"/>
              <w:bidi w:val="0"/>
              <w:spacing w:before="0" w:after="20"/>
              <w:jc w:val="left"/>
              <w:rPr>
                <w:rFonts w:ascii="Times New Roman" w:hAnsi="Times New Roman"/>
                <w:sz w:val="20"/>
              </w:rPr>
            </w:pPr>
            <w:r>
              <w:rPr>
                <w:rFonts w:ascii="Times New Roman" w:hAnsi="Times New Roman"/>
                <w:sz w:val="20"/>
              </w:rPr>
              <w:t>(50%) (in millions)</w:t>
            </w:r>
          </w:p>
        </w:tc>
        <w:tc>
          <w:tcPr>
            <w:tcW w:w="15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11,135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13,100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15,065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13,003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97</w:t>
            </w:r>
          </w:p>
        </w:tc>
        <w:tc>
          <w:tcPr>
            <w:tcW w:w="285" w:type="dxa"/>
            <w:tcBorders/>
            <w:shd w:fill="CCEEFF" w:val="clear"/>
            <w:vAlign w:val="bottom"/>
          </w:tcPr>
          <w:p>
            <w:pPr>
              <w:pStyle w:val="TableContents"/>
              <w:bidi w:val="0"/>
              <w:spacing w:before="0" w:after="283"/>
              <w:jc w:val="left"/>
              <w:rPr/>
            </w:pPr>
            <w:r>
              <w:rPr/>
              <w:t>% </w:t>
            </w:r>
          </w:p>
        </w:tc>
      </w:tr>
      <w:tr>
        <w:trPr/>
        <w:tc>
          <w:tcPr>
            <w:tcW w:w="1798" w:type="dxa"/>
            <w:tcBorders/>
          </w:tcPr>
          <w:p>
            <w:pPr>
              <w:pStyle w:val="TableContents"/>
              <w:bidi w:val="0"/>
              <w:spacing w:before="0" w:after="0"/>
              <w:jc w:val="left"/>
              <w:rPr>
                <w:rFonts w:ascii="Times New Roman" w:hAnsi="Times New Roman"/>
                <w:sz w:val="20"/>
              </w:rPr>
            </w:pPr>
            <w:r>
              <w:rPr>
                <w:rFonts w:ascii="Times New Roman" w:hAnsi="Times New Roman"/>
                <w:sz w:val="20"/>
              </w:rPr>
              <w:t>One-Year Non-GAAP EPS (50%)(1)</w:t>
            </w:r>
          </w:p>
        </w:tc>
        <w:tc>
          <w:tcPr>
            <w:tcW w:w="15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(2.90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(2.32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(0.20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191</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200</w:t>
            </w:r>
          </w:p>
        </w:tc>
        <w:tc>
          <w:tcPr>
            <w:tcW w:w="285" w:type="dxa"/>
            <w:tcBorders/>
            <w:vAlign w:val="bottom"/>
          </w:tcPr>
          <w:p>
            <w:pPr>
              <w:pStyle w:val="TableContents"/>
              <w:bidi w:val="0"/>
              <w:spacing w:before="0" w:after="283"/>
              <w:jc w:val="left"/>
              <w:rPr/>
            </w:pPr>
            <w:r>
              <w:rPr/>
              <w:t>% </w:t>
            </w:r>
          </w:p>
        </w:tc>
      </w:tr>
      <w:tr>
        <w:trPr/>
        <w:tc>
          <w:tcPr>
            <w:tcW w:w="1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Payout:</w:t>
            </w:r>
          </w:p>
        </w:tc>
        <w:tc>
          <w:tcPr>
            <w:tcW w:w="15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149</w:t>
            </w:r>
          </w:p>
        </w:tc>
        <w:tc>
          <w:tcPr>
            <w:tcW w:w="28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Reconciliation of WDC Non-GAAP Financial Measures Used for Incentive Compensationfor a reconciliation of GAAP EPS to non-GAAP EPS.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29"/>
        <w:gridCol w:w="256"/>
        <w:gridCol w:w="1886"/>
        <w:gridCol w:w="257"/>
        <w:gridCol w:w="1886"/>
        <w:gridCol w:w="257"/>
        <w:gridCol w:w="1801"/>
      </w:tblGrid>
      <w:tr>
        <w:trPr/>
        <w:tc>
          <w:tcPr>
            <w:tcW w:w="2229"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2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2024</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c>
          <w:tcPr>
            <w:tcW w:w="256"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2025</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c>
          <w:tcPr>
            <w:tcW w:w="257"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2026</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c>
          <w:tcPr>
            <w:tcW w:w="257" w:type="dxa"/>
            <w:tcBorders/>
            <w:vAlign w:val="bottom"/>
          </w:tcPr>
          <w:p>
            <w:pPr>
              <w:pStyle w:val="TableContents"/>
              <w:bidi w:val="0"/>
              <w:spacing w:before="0" w:after="283"/>
              <w:jc w:val="left"/>
              <w:rPr/>
            </w:pPr>
            <w:r>
              <w:rPr/>
              <w:t>  </w:t>
            </w:r>
          </w:p>
        </w:tc>
        <w:tc>
          <w:tcPr>
            <w:tcW w:w="180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Three-Year Average</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r>
      <w:tr>
        <w:trPr/>
        <w:tc>
          <w:tcPr>
            <w:tcW w:w="2229"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149%</w:t>
            </w:r>
          </w:p>
        </w:tc>
        <w:tc>
          <w:tcPr>
            <w:tcW w:w="256"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center"/>
              <w:rPr/>
            </w:pPr>
            <w:r>
              <w:rPr/>
              <w:t>*</w:t>
            </w:r>
          </w:p>
        </w:tc>
        <w:tc>
          <w:tcPr>
            <w:tcW w:w="257"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center"/>
              <w:rPr/>
            </w:pPr>
            <w:r>
              <w:rPr/>
              <w:t>*</w:t>
            </w:r>
          </w:p>
        </w:tc>
        <w:tc>
          <w:tcPr>
            <w:tcW w:w="257"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above, Mr. Goeckelers 2024-2026 PSU Awards are no longer subject to performance-based vesting conditions. The fiscal 2025 and 2026 payout percentage was approved at target and the awards were converted to a time-based RSU covering 97,238 Sandisk shares, which will vest on August 25,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20232025 PSU Awards </w:t>
      </w:r>
    </w:p>
    <w:p>
      <w:pPr>
        <w:pStyle w:val="TextBody"/>
        <w:bidi w:val="0"/>
        <w:spacing w:before="120" w:after="0"/>
        <w:jc w:val="left"/>
        <w:rPr>
          <w:rFonts w:ascii="Times New Roman" w:hAnsi="Times New Roman"/>
          <w:sz w:val="20"/>
        </w:rPr>
      </w:pPr>
      <w:r>
        <w:rPr>
          <w:rFonts w:ascii="Times New Roman" w:hAnsi="Times New Roman"/>
          <w:sz w:val="20"/>
        </w:rPr>
        <w:t xml:space="preserve">The fiscal 2023-2025 PSUs included the same annual performance period design as the fiscal 2024-2026 PSUs, with a different modifier. The fiscal 2023-2025 PSU payouts may be increased by up to 50% if WDC achieves stock-price CAGR targets over the performance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THREE-YEAR PERFORMANCE PERIOD </w:t>
      </w:r>
    </w:p>
    <w:p>
      <w:pPr>
        <w:pStyle w:val="TextBody"/>
        <w:bidi w:val="0"/>
        <w:spacing w:before="0" w:after="0"/>
        <w:jc w:val="left"/>
        <w:rPr/>
      </w:pPr>
      <w:r>
        <w:rPr/>
        <w:t> </w:t>
      </w:r>
    </w:p>
    <w:p>
      <w:pPr>
        <w:pStyle w:val="TextBody"/>
        <w:bidi w:val="0"/>
        <w:spacing w:before="0" w:after="0"/>
        <w:jc w:val="center"/>
        <w:rPr/>
      </w:pPr>
      <w:r>
        <w:rPr/>
        <w:drawing>
          <wp:inline distT="0" distB="0" distL="0" distR="0">
            <wp:extent cx="4338955" cy="7785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338955" cy="778510"/>
                    </a:xfrm>
                    <a:prstGeom prst="rect">
                      <a:avLst/>
                    </a:prstGeom>
                  </pic:spPr>
                </pic:pic>
              </a:graphicData>
            </a:graphic>
          </wp:inline>
        </w:drawing>
      </w:r>
      <w:r>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44"/>
        <w:gridCol w:w="771"/>
        <w:gridCol w:w="228"/>
        <w:gridCol w:w="992"/>
        <w:gridCol w:w="275"/>
        <w:gridCol w:w="719"/>
        <w:gridCol w:w="178"/>
        <w:gridCol w:w="772"/>
        <w:gridCol w:w="276"/>
      </w:tblGrid>
      <w:tr>
        <w:trPr/>
        <w:tc>
          <w:tcPr>
            <w:tcW w:w="3544" w:type="dxa"/>
            <w:tcBorders/>
            <w:vAlign w:val="center"/>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544" w:type="dxa"/>
            <w:tcBorders/>
            <w:vAlign w:val="bottom"/>
          </w:tcPr>
          <w:p>
            <w:pPr>
              <w:pStyle w:val="TableContents"/>
              <w:bidi w:val="0"/>
              <w:spacing w:before="0" w:after="283"/>
              <w:jc w:val="center"/>
              <w:rPr>
                <w:b/>
              </w:rPr>
            </w:pPr>
            <w:r>
              <w:rPr>
                <w:b/>
              </w:rPr>
              <w:t>x</w:t>
            </w:r>
          </w:p>
        </w:tc>
        <w:tc>
          <w:tcPr>
            <w:tcW w:w="771"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pPr>
            <w:r>
              <w:rPr>
                <w:b/>
              </w:rPr>
              <w:t>Three-Year</w:t>
              <w:br/>
              <w:t>Stock Price</w:t>
            </w:r>
            <w:r>
              <w:rPr/>
              <w:br/>
            </w:r>
            <w:r>
              <w:rPr>
                <w:b/>
              </w:rPr>
              <w:t>CAGR</w:t>
            </w:r>
          </w:p>
        </w:tc>
        <w:tc>
          <w:tcPr>
            <w:tcW w:w="2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Upside</w:t>
            </w:r>
            <w:r>
              <w:rPr/>
              <w:br/>
            </w:r>
            <w:r>
              <w:rPr>
                <w:b/>
              </w:rPr>
              <w:t>Incentive%</w:t>
            </w:r>
          </w:p>
        </w:tc>
        <w:tc>
          <w:tcPr>
            <w:tcW w:w="276"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10</w:t>
            </w:r>
          </w:p>
        </w:tc>
        <w:tc>
          <w:tcPr>
            <w:tcW w:w="276"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50</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2023-2025 PSU Performance (Year Two of Three)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3"/>
        <w:gridCol w:w="148"/>
        <w:gridCol w:w="86"/>
        <w:gridCol w:w="992"/>
        <w:gridCol w:w="155"/>
        <w:gridCol w:w="90"/>
        <w:gridCol w:w="60"/>
        <w:gridCol w:w="688"/>
        <w:gridCol w:w="155"/>
        <w:gridCol w:w="90"/>
        <w:gridCol w:w="86"/>
        <w:gridCol w:w="992"/>
        <w:gridCol w:w="155"/>
        <w:gridCol w:w="89"/>
        <w:gridCol w:w="108"/>
        <w:gridCol w:w="1242"/>
        <w:gridCol w:w="155"/>
        <w:gridCol w:w="90"/>
        <w:gridCol w:w="182"/>
        <w:gridCol w:w="1171"/>
        <w:gridCol w:w="276"/>
        <w:gridCol w:w="90"/>
        <w:gridCol w:w="142"/>
        <w:gridCol w:w="912"/>
        <w:gridCol w:w="288"/>
      </w:tblGrid>
      <w:tr>
        <w:trPr/>
        <w:tc>
          <w:tcPr>
            <w:tcW w:w="176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7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Metrics</w:t>
            </w:r>
          </w:p>
        </w:tc>
        <w:tc>
          <w:tcPr>
            <w:tcW w:w="148"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pPr>
            <w:r>
              <w:rPr>
                <w:b/>
              </w:rPr>
              <w:t>Threshold</w:t>
            </w:r>
            <w:r>
              <w:rPr/>
              <w:br/>
            </w:r>
            <w:r>
              <w:rPr>
                <w:b/>
              </w:rPr>
              <w:t>(50%)</w:t>
            </w:r>
            <w:r>
              <w:rPr/>
              <w:br/>
            </w:r>
            <w:r>
              <w:rPr>
                <w:b/>
              </w:rPr>
              <w:t>($)</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bottom"/>
          </w:tcPr>
          <w:p>
            <w:pPr>
              <w:pStyle w:val="TableContents"/>
              <w:bidi w:val="0"/>
              <w:spacing w:before="0" w:after="283"/>
              <w:jc w:val="center"/>
              <w:rPr/>
            </w:pPr>
            <w:r>
              <w:rPr>
                <w:b/>
              </w:rPr>
              <w:t>Target</w:t>
            </w:r>
            <w:r>
              <w:rPr/>
              <w:br/>
            </w:r>
            <w:r>
              <w:rPr>
                <w:b/>
              </w:rPr>
              <w:t>(100%)</w:t>
            </w:r>
            <w:r>
              <w:rPr/>
              <w:br/>
            </w:r>
            <w:r>
              <w:rPr>
                <w:b/>
              </w:rPr>
              <w:t>($)</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(200%)</w:t>
            </w:r>
            <w:r>
              <w:rPr/>
              <w:br/>
            </w:r>
            <w:r>
              <w:rPr>
                <w:b/>
              </w:rPr>
              <w:t>($)</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pPr>
            <w:r>
              <w:rPr>
                <w:b/>
              </w:rPr>
              <w:t>Actual</w:t>
            </w:r>
            <w:r>
              <w:rPr/>
              <w:br/>
            </w:r>
            <w:r>
              <w:rPr>
                <w:b/>
              </w:rPr>
              <w:t>Performance</w:t>
            </w:r>
            <w:r>
              <w:rPr/>
              <w:br/>
            </w:r>
            <w:r>
              <w:rPr>
                <w:b/>
              </w:rPr>
              <w:t>($)</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bottom"/>
          </w:tcPr>
          <w:p>
            <w:pPr>
              <w:pStyle w:val="TableContents"/>
              <w:bidi w:val="0"/>
              <w:spacing w:before="0" w:after="283"/>
              <w:jc w:val="center"/>
              <w:rPr/>
            </w:pPr>
            <w:r>
              <w:rPr>
                <w:b/>
              </w:rPr>
              <w:t>Achievement</w:t>
            </w:r>
            <w:r>
              <w:rPr/>
              <w:br/>
            </w:r>
            <w:r>
              <w:rPr>
                <w:b/>
              </w:rPr>
              <w:t>Rate</w:t>
            </w:r>
          </w:p>
        </w:tc>
        <w:tc>
          <w:tcPr>
            <w:tcW w:w="2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b/>
              </w:rPr>
              <w:t>Year Two</w:t>
            </w:r>
            <w:r>
              <w:rPr/>
              <w:br/>
            </w:r>
            <w:r>
              <w:rPr>
                <w:b/>
              </w:rPr>
              <w:t>Payout</w:t>
            </w:r>
            <w:r>
              <w:rPr/>
              <w:br/>
            </w:r>
            <w:r>
              <w:rPr>
                <w:b/>
              </w:rPr>
              <w:t>%</w:t>
            </w:r>
          </w:p>
        </w:tc>
        <w:tc>
          <w:tcPr>
            <w:tcW w:w="288" w:type="dxa"/>
            <w:tcBorders/>
            <w:vAlign w:val="bottom"/>
          </w:tcPr>
          <w:p>
            <w:pPr>
              <w:pStyle w:val="TableContents"/>
              <w:bidi w:val="0"/>
              <w:spacing w:before="0" w:after="283"/>
              <w:jc w:val="left"/>
              <w:rPr/>
            </w:pPr>
            <w:r>
              <w:rPr/>
              <w:t> </w:t>
            </w:r>
          </w:p>
        </w:tc>
      </w:tr>
      <w:tr>
        <w:trPr/>
        <w:tc>
          <w:tcPr>
            <w:tcW w:w="1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One-Year Revenue (50%) (in millions)</w:t>
            </w:r>
          </w:p>
        </w:tc>
        <w:tc>
          <w:tcPr>
            <w:tcW w:w="148"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11,135</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13,100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15,065</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13,003</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99</w:t>
            </w:r>
          </w:p>
        </w:tc>
        <w:tc>
          <w:tcPr>
            <w:tcW w:w="27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97</w:t>
            </w:r>
          </w:p>
        </w:tc>
        <w:tc>
          <w:tcPr>
            <w:tcW w:w="288" w:type="dxa"/>
            <w:tcBorders/>
            <w:shd w:fill="CCEEFF" w:val="clear"/>
            <w:vAlign w:val="bottom"/>
          </w:tcPr>
          <w:p>
            <w:pPr>
              <w:pStyle w:val="TableContents"/>
              <w:bidi w:val="0"/>
              <w:spacing w:before="0" w:after="283"/>
              <w:jc w:val="left"/>
              <w:rPr/>
            </w:pPr>
            <w:r>
              <w:rPr/>
              <w:t>% </w:t>
            </w:r>
          </w:p>
        </w:tc>
      </w:tr>
      <w:tr>
        <w:trPr/>
        <w:tc>
          <w:tcPr>
            <w:tcW w:w="1763" w:type="dxa"/>
            <w:tcBorders/>
          </w:tcPr>
          <w:p>
            <w:pPr>
              <w:pStyle w:val="TableContents"/>
              <w:bidi w:val="0"/>
              <w:spacing w:before="0" w:after="0"/>
              <w:jc w:val="left"/>
              <w:rPr>
                <w:rFonts w:ascii="Times New Roman" w:hAnsi="Times New Roman"/>
                <w:sz w:val="20"/>
              </w:rPr>
            </w:pPr>
            <w:r>
              <w:rPr>
                <w:rFonts w:ascii="Times New Roman" w:hAnsi="Times New Roman"/>
                <w:sz w:val="20"/>
              </w:rPr>
              <w:t>One-Year Non-GAAP EPS (50%)(1)</w:t>
            </w:r>
          </w:p>
        </w:tc>
        <w:tc>
          <w:tcPr>
            <w:tcW w:w="148"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(2.90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(2.32</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(0.20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191</w:t>
            </w:r>
          </w:p>
        </w:tc>
        <w:tc>
          <w:tcPr>
            <w:tcW w:w="2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200</w:t>
            </w:r>
          </w:p>
        </w:tc>
        <w:tc>
          <w:tcPr>
            <w:tcW w:w="288" w:type="dxa"/>
            <w:tcBorders/>
            <w:vAlign w:val="bottom"/>
          </w:tcPr>
          <w:p>
            <w:pPr>
              <w:pStyle w:val="TableContents"/>
              <w:bidi w:val="0"/>
              <w:spacing w:before="0" w:after="283"/>
              <w:jc w:val="left"/>
              <w:rPr/>
            </w:pPr>
            <w:r>
              <w:rPr/>
              <w:t>% </w:t>
            </w:r>
          </w:p>
        </w:tc>
      </w:tr>
      <w:tr>
        <w:trPr/>
        <w:tc>
          <w:tcPr>
            <w:tcW w:w="1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Payout:</w:t>
            </w:r>
          </w:p>
        </w:tc>
        <w:tc>
          <w:tcPr>
            <w:tcW w:w="148"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149</w:t>
            </w:r>
          </w:p>
        </w:tc>
        <w:tc>
          <w:tcPr>
            <w:tcW w:w="28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Reconciliation of WDC Non-GAAP Financial Measures Used for Incentive Compensation for a reconciliation of GAAP EPS to non-GAAP EPS.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6"/>
        <w:gridCol w:w="121"/>
        <w:gridCol w:w="2406"/>
        <w:gridCol w:w="121"/>
        <w:gridCol w:w="2400"/>
        <w:gridCol w:w="121"/>
        <w:gridCol w:w="2380"/>
      </w:tblGrid>
      <w:tr>
        <w:trPr/>
        <w:tc>
          <w:tcPr>
            <w:tcW w:w="26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2023</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c>
          <w:tcPr>
            <w:tcW w:w="121" w:type="dxa"/>
            <w:tcBorders/>
            <w:vAlign w:val="bottom"/>
          </w:tcPr>
          <w:p>
            <w:pPr>
              <w:pStyle w:val="TableContents"/>
              <w:bidi w:val="0"/>
              <w:spacing w:before="0" w:after="283"/>
              <w:jc w:val="left"/>
              <w:rPr/>
            </w:pPr>
            <w:r>
              <w:rPr/>
              <w:t>  </w:t>
            </w:r>
          </w:p>
        </w:tc>
        <w:tc>
          <w:tcPr>
            <w:tcW w:w="240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2024</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c>
          <w:tcPr>
            <w:tcW w:w="121" w:type="dxa"/>
            <w:tcBorders/>
            <w:vAlign w:val="bottom"/>
          </w:tcPr>
          <w:p>
            <w:pPr>
              <w:pStyle w:val="TableContents"/>
              <w:bidi w:val="0"/>
              <w:spacing w:before="0" w:after="283"/>
              <w:jc w:val="left"/>
              <w:rPr/>
            </w:pPr>
            <w:r>
              <w:rPr/>
              <w:t>  </w:t>
            </w:r>
          </w:p>
        </w:tc>
        <w:tc>
          <w:tcPr>
            <w:tcW w:w="240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Fiscal 2025</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c>
          <w:tcPr>
            <w:tcW w:w="121" w:type="dxa"/>
            <w:tcBorders/>
            <w:vAlign w:val="bottom"/>
          </w:tcPr>
          <w:p>
            <w:pPr>
              <w:pStyle w:val="TableContents"/>
              <w:bidi w:val="0"/>
              <w:spacing w:before="0" w:after="283"/>
              <w:jc w:val="left"/>
              <w:rPr/>
            </w:pPr>
            <w:r>
              <w:rPr/>
              <w:t>  </w:t>
            </w:r>
          </w:p>
        </w:tc>
        <w:tc>
          <w:tcPr>
            <w:tcW w:w="238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Three-Year Average</w:t>
            </w:r>
          </w:p>
          <w:p>
            <w:pPr>
              <w:pStyle w:val="TableContents"/>
              <w:bidi w:val="0"/>
              <w:spacing w:before="0" w:after="20"/>
              <w:jc w:val="center"/>
              <w:rPr>
                <w:rFonts w:ascii="Times New Roman" w:hAnsi="Times New Roman"/>
                <w:b/>
                <w:sz w:val="16"/>
              </w:rPr>
            </w:pPr>
            <w:r>
              <w:rPr>
                <w:rFonts w:ascii="Times New Roman" w:hAnsi="Times New Roman"/>
                <w:b/>
                <w:sz w:val="16"/>
              </w:rPr>
              <w:t>Payout%</w:t>
            </w:r>
          </w:p>
        </w:tc>
      </w:tr>
      <w:tr>
        <w:trPr/>
        <w:tc>
          <w:tcPr>
            <w:tcW w:w="2656"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0%</w:t>
            </w:r>
          </w:p>
        </w:tc>
        <w:tc>
          <w:tcPr>
            <w:tcW w:w="121"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center"/>
              <w:rPr/>
            </w:pPr>
            <w:r>
              <w:rPr/>
              <w:t>149%</w:t>
            </w:r>
          </w:p>
        </w:tc>
        <w:tc>
          <w:tcPr>
            <w:tcW w:w="121" w:type="dxa"/>
            <w:tcBorders/>
            <w:shd w:fill="CCEEFF" w:val="clear"/>
            <w:vAlign w:val="bottom"/>
          </w:tcPr>
          <w:p>
            <w:pPr>
              <w:pStyle w:val="TableContents"/>
              <w:bidi w:val="0"/>
              <w:spacing w:before="0" w:after="283"/>
              <w:jc w:val="left"/>
              <w:rPr/>
            </w:pPr>
            <w:r>
              <w:rPr/>
              <w:t>  </w:t>
            </w:r>
          </w:p>
        </w:tc>
        <w:tc>
          <w:tcPr>
            <w:tcW w:w="2400" w:type="dxa"/>
            <w:tcBorders/>
            <w:shd w:fill="CCEEFF" w:val="clear"/>
            <w:vAlign w:val="bottom"/>
          </w:tcPr>
          <w:p>
            <w:pPr>
              <w:pStyle w:val="TableContents"/>
              <w:bidi w:val="0"/>
              <w:spacing w:before="0" w:after="283"/>
              <w:jc w:val="center"/>
              <w:rPr/>
            </w:pPr>
            <w:r>
              <w:rPr/>
              <w:t>*</w:t>
            </w:r>
          </w:p>
        </w:tc>
        <w:tc>
          <w:tcPr>
            <w:tcW w:w="121" w:type="dxa"/>
            <w:tcBorders/>
            <w:shd w:fill="CCEEFF" w:val="clear"/>
            <w:vAlign w:val="bottom"/>
          </w:tcPr>
          <w:p>
            <w:pPr>
              <w:pStyle w:val="TableContents"/>
              <w:bidi w:val="0"/>
              <w:spacing w:before="0" w:after="283"/>
              <w:jc w:val="left"/>
              <w:rPr/>
            </w:pPr>
            <w:r>
              <w:rPr/>
              <w:t>  </w:t>
            </w:r>
          </w:p>
        </w:tc>
        <w:tc>
          <w:tcPr>
            <w:tcW w:w="2380" w:type="dxa"/>
            <w:tcBorders/>
            <w:shd w:fill="CCEEFF" w:val="clear"/>
            <w:vAlign w:val="bottom"/>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above, Mr. Goeckelers 2023-2025 PSU Awards are no longer subject to performance-based vesting conditions. The fiscal 2025 payout percentage was approved at target and the awards were converted to a time-based RSU covering 67,966 Sandisk shares, which will vest on August 20,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2022-2024 PSU Awards: Performance and Payout </w:t>
      </w:r>
    </w:p>
    <w:p>
      <w:pPr>
        <w:pStyle w:val="TextBody"/>
        <w:bidi w:val="0"/>
        <w:spacing w:before="120" w:after="0"/>
        <w:jc w:val="left"/>
        <w:rPr>
          <w:rFonts w:ascii="Times New Roman" w:hAnsi="Times New Roman"/>
          <w:sz w:val="20"/>
        </w:rPr>
      </w:pPr>
      <w:r>
        <w:rPr>
          <w:rFonts w:ascii="Times New Roman" w:hAnsi="Times New Roman"/>
          <w:sz w:val="20"/>
        </w:rPr>
        <w:t xml:space="preserve">The PSUs granted in fiscal 2022 reflected the following design: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8820" cy="10661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98820" cy="106616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Performance Metrics (50% Weighting)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20222024 PSUs included three-year performance periods for the financial metrics (revenue and non-GAAP EPS) that were subject to a pre-established, objective adjustment at the end of the performance period in a relative proportion (up or down) by which the total market for WDCs products (measured by revenue) during the period exceeded or fell short of the total market forecast approved by the WDC Compensation and Talent Committee at the time the goals were established,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by industry analysts. WDC refers to the relative market performance adjustment described in this CD&amp;A as relative MPA. The relative MPA modifier helped ensure that WDC pays for performance relative to the market demand and opportunity available to WDC.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actual market for WDCs products was lower than forecast when the fiscal 20222024 PSU goals were established, thus applying the relative MPA modifier resulted in a reduction in both revenue and non-GAAP EPS targets.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TSR Metric (50% Weighting)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2022-2024 PSUs included a three-year TSR metric that measured WDCs stock performance relative to a TSR peer group consisting of the constituents of the S&amp;P 500 Index as of the beginning of the performance period.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2022-2024 PERFORMANCE PERIOD ACHIEVEMENT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Three-Year Financial Metrics </w:t>
            </w:r>
          </w:p>
        </w:tc>
      </w:tr>
    </w:tbl>
    <w:p>
      <w:pPr>
        <w:pStyle w:val="TextBody"/>
        <w:bidi w:val="0"/>
        <w:spacing w:before="0" w:after="0"/>
        <w:jc w:val="left"/>
        <w:rPr/>
      </w:pPr>
      <w:r>
        <w:rPr/>
        <w:t> </w:t>
      </w:r>
    </w:p>
    <w:tbl>
      <w:tblPr>
        <w:tblW w:w="10640" w:type="dxa"/>
        <w:jc w:val="center"/>
        <w:tblInd w:w="0" w:type="dxa"/>
        <w:tblLayout w:type="fixed"/>
        <w:tblCellMar>
          <w:top w:w="0" w:type="dxa"/>
          <w:left w:w="0" w:type="dxa"/>
          <w:bottom w:w="0" w:type="dxa"/>
          <w:right w:w="0" w:type="dxa"/>
        </w:tblCellMar>
      </w:tblPr>
      <w:tblGrid>
        <w:gridCol w:w="1280"/>
        <w:gridCol w:w="120"/>
        <w:gridCol w:w="86"/>
        <w:gridCol w:w="984"/>
        <w:gridCol w:w="60"/>
        <w:gridCol w:w="120"/>
        <w:gridCol w:w="69"/>
        <w:gridCol w:w="791"/>
        <w:gridCol w:w="60"/>
        <w:gridCol w:w="120"/>
        <w:gridCol w:w="86"/>
        <w:gridCol w:w="984"/>
        <w:gridCol w:w="60"/>
        <w:gridCol w:w="120"/>
        <w:gridCol w:w="106"/>
        <w:gridCol w:w="1204"/>
        <w:gridCol w:w="60"/>
        <w:gridCol w:w="120"/>
        <w:gridCol w:w="108"/>
        <w:gridCol w:w="1232"/>
        <w:gridCol w:w="60"/>
        <w:gridCol w:w="120"/>
        <w:gridCol w:w="182"/>
        <w:gridCol w:w="1158"/>
        <w:gridCol w:w="275"/>
        <w:gridCol w:w="60"/>
        <w:gridCol w:w="100"/>
        <w:gridCol w:w="640"/>
        <w:gridCol w:w="275"/>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8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Financial Metrics</w:t>
            </w:r>
          </w:p>
          <w:p>
            <w:pPr>
              <w:pStyle w:val="TableContents"/>
              <w:bidi w:val="0"/>
              <w:spacing w:before="0" w:after="20"/>
              <w:jc w:val="left"/>
              <w:rPr>
                <w:rFonts w:ascii="Times New Roman" w:hAnsi="Times New Roman"/>
                <w:b/>
                <w:sz w:val="16"/>
              </w:rPr>
            </w:pPr>
            <w:r>
              <w:rPr>
                <w:rFonts w:ascii="Times New Roman" w:hAnsi="Times New Roman"/>
                <w:b/>
                <w:sz w:val="16"/>
              </w:rPr>
              <w:t>(50% Weighting)</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Threshold</w:t>
            </w:r>
            <w:r>
              <w:rPr/>
              <w:br/>
            </w:r>
            <w:r>
              <w:rPr>
                <w:b/>
              </w:rPr>
              <w:t>(50%)</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Original</w:t>
            </w:r>
            <w:r>
              <w:rPr/>
              <w:br/>
            </w:r>
            <w:r>
              <w:rPr>
                <w:b/>
              </w:rPr>
              <w:t>Target</w:t>
            </w:r>
            <w:r>
              <w:rPr/>
              <w:br/>
            </w:r>
            <w:r>
              <w:rPr>
                <w:b/>
              </w:rPr>
              <w:t>(100%)</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(200%)</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Target After</w:t>
            </w:r>
            <w:r>
              <w:rPr/>
              <w:br/>
            </w:r>
            <w:r>
              <w:rPr>
                <w:b/>
              </w:rPr>
              <w:t>Applying</w:t>
            </w:r>
            <w:r>
              <w:rPr/>
              <w:br/>
            </w:r>
            <w:r>
              <w:rPr>
                <w:b/>
              </w:rPr>
              <w:t>Relative</w:t>
            </w:r>
            <w:r>
              <w:rPr/>
              <w:br/>
            </w:r>
            <w:r>
              <w:rPr>
                <w:b/>
              </w:rPr>
              <w:t>MPA</w:t>
            </w:r>
            <w:r>
              <w:rPr/>
              <w:br/>
            </w:r>
            <w:r>
              <w:rPr>
                <w:b/>
              </w:rPr>
              <w:t>Modifier</w:t>
            </w:r>
            <w:r>
              <w:rPr/>
              <w:br/>
            </w:r>
            <w:r>
              <w:rPr>
                <w:b/>
              </w:rPr>
              <w:t>(100%)</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Actual</w:t>
            </w:r>
            <w:r>
              <w:rPr/>
              <w:br/>
            </w:r>
            <w:r>
              <w:rPr>
                <w:b/>
              </w:rPr>
              <w:t>Performance</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Achievement</w:t>
            </w:r>
            <w:r>
              <w:rPr/>
              <w:br/>
            </w:r>
            <w:r>
              <w:rPr>
                <w:b/>
              </w:rPr>
              <w:t>Rate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Payout%</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Three-Year Revenue (25%) (in millions)</w:t>
            </w:r>
          </w:p>
        </w:tc>
        <w:tc>
          <w:tcPr>
            <w:tcW w:w="1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50,028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58,857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67,686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43,074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44,114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Three-Year Non-GAAP EPS (25%)(1)</w:t>
            </w:r>
          </w:p>
        </w:tc>
        <w:tc>
          <w:tcPr>
            <w:tcW w:w="1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22.85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4.61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200</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Payout:</w:t>
            </w:r>
          </w:p>
        </w:tc>
        <w:tc>
          <w:tcPr>
            <w:tcW w:w="1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158</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Reconciliation of WDC Non-GAAP Financial Measures Used for Incentive Compensation for a reconciliation of GAAP EPS to non-GAAP 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Three-Year Relative TSR Metric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8"/>
        <w:gridCol w:w="218"/>
        <w:gridCol w:w="119"/>
        <w:gridCol w:w="1273"/>
        <w:gridCol w:w="354"/>
        <w:gridCol w:w="160"/>
        <w:gridCol w:w="150"/>
        <w:gridCol w:w="951"/>
        <w:gridCol w:w="275"/>
        <w:gridCol w:w="160"/>
        <w:gridCol w:w="146"/>
        <w:gridCol w:w="1088"/>
        <w:gridCol w:w="275"/>
        <w:gridCol w:w="160"/>
        <w:gridCol w:w="60"/>
        <w:gridCol w:w="1465"/>
        <w:gridCol w:w="60"/>
        <w:gridCol w:w="217"/>
        <w:gridCol w:w="138"/>
        <w:gridCol w:w="615"/>
        <w:gridCol w:w="283"/>
      </w:tblGrid>
      <w:tr>
        <w:trPr/>
        <w:tc>
          <w:tcPr>
            <w:tcW w:w="2038"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Relative TSR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(50% Weighting)</w:t>
            </w:r>
          </w:p>
        </w:tc>
        <w:tc>
          <w:tcPr>
            <w:tcW w:w="218"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pPr>
            <w:r>
              <w:rPr>
                <w:b/>
              </w:rPr>
              <w:t>S&amp;P 500</w:t>
            </w:r>
            <w:r>
              <w:rPr/>
              <w:br/>
            </w:r>
            <w:r>
              <w:rPr>
                <w:b/>
              </w:rPr>
              <w:t>Constituents</w:t>
            </w:r>
            <w:r>
              <w:rPr/>
              <w:br/>
            </w:r>
            <w:r>
              <w:rPr>
                <w:b/>
              </w:rPr>
              <w:t>Relative TSR</w:t>
            </w:r>
          </w:p>
        </w:tc>
        <w:tc>
          <w:tcPr>
            <w:tcW w:w="35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pPr>
            <w:r>
              <w:rPr>
                <w:b/>
              </w:rPr>
              <w:t>Relative</w:t>
            </w:r>
            <w:r>
              <w:rPr/>
              <w:br/>
            </w:r>
            <w:r>
              <w:rPr>
                <w:b/>
              </w:rPr>
              <w:t>TSR Units</w:t>
            </w:r>
            <w:r>
              <w:rPr/>
              <w:br/>
            </w:r>
            <w:r>
              <w:rPr>
                <w:b/>
              </w:rPr>
              <w:t>Payout%</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pPr>
            <w:r>
              <w:rPr>
                <w:b/>
              </w:rPr>
              <w:t>WDC</w:t>
            </w:r>
            <w:r>
              <w:rPr/>
              <w:br/>
            </w:r>
            <w:r>
              <w:rPr>
                <w:b/>
              </w:rPr>
              <w:t>Three-Year</w:t>
            </w:r>
            <w:r>
              <w:rPr/>
              <w:br/>
            </w:r>
            <w:r>
              <w:rPr>
                <w:b/>
              </w:rPr>
              <w:t>Relative</w:t>
              <w:br/>
              <w:t>TSR</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pPr>
            <w:r>
              <w:rPr>
                <w:b/>
              </w:rPr>
              <w:t>WDC Percentile</w:t>
            </w:r>
            <w:r>
              <w:rPr/>
              <w:br/>
            </w:r>
            <w:r>
              <w:rPr>
                <w:b/>
              </w:rPr>
              <w:t>Relative to S&amp;P 500</w:t>
            </w:r>
            <w:r>
              <w:rPr/>
              <w:br/>
            </w:r>
            <w:r>
              <w:rPr>
                <w:b/>
              </w:rPr>
              <w:t>Peer Group</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Payout%</w:t>
            </w:r>
          </w:p>
        </w:tc>
        <w:tc>
          <w:tcPr>
            <w:tcW w:w="283" w:type="dxa"/>
            <w:tcBorders/>
            <w:vAlign w:val="bottom"/>
          </w:tcPr>
          <w:p>
            <w:pPr>
              <w:pStyle w:val="TableContents"/>
              <w:bidi w:val="0"/>
              <w:spacing w:before="0" w:after="283"/>
              <w:jc w:val="left"/>
              <w:rPr/>
            </w:pPr>
            <w:r>
              <w:rPr/>
              <w:t> </w:t>
            </w:r>
          </w:p>
        </w:tc>
      </w:tr>
      <w:tr>
        <w:trPr/>
        <w:tc>
          <w:tcPr>
            <w:tcW w:w="2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75th percentile</w:t>
            </w:r>
          </w:p>
        </w:tc>
        <w:tc>
          <w:tcPr>
            <w:tcW w:w="21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40.79</w:t>
            </w:r>
          </w:p>
        </w:tc>
        <w:tc>
          <w:tcPr>
            <w:tcW w:w="35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2038" w:type="dxa"/>
            <w:tcBorders/>
          </w:tcPr>
          <w:p>
            <w:pPr>
              <w:pStyle w:val="TableContents"/>
              <w:bidi w:val="0"/>
              <w:spacing w:before="0" w:after="0"/>
              <w:jc w:val="left"/>
              <w:rPr>
                <w:rFonts w:ascii="Times New Roman" w:hAnsi="Times New Roman"/>
                <w:sz w:val="20"/>
              </w:rPr>
            </w:pPr>
            <w:r>
              <w:rPr>
                <w:rFonts w:ascii="Times New Roman" w:hAnsi="Times New Roman"/>
                <w:sz w:val="20"/>
              </w:rPr>
              <w:t>50th percentile</w:t>
            </w:r>
          </w:p>
        </w:tc>
        <w:tc>
          <w:tcPr>
            <w:tcW w:w="218"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10.34</w:t>
            </w:r>
          </w:p>
        </w:tc>
        <w:tc>
          <w:tcPr>
            <w:tcW w:w="35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4.06</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43rd percentile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80</w:t>
            </w:r>
          </w:p>
        </w:tc>
        <w:tc>
          <w:tcPr>
            <w:tcW w:w="283" w:type="dxa"/>
            <w:tcBorders/>
            <w:vAlign w:val="bottom"/>
          </w:tcPr>
          <w:p>
            <w:pPr>
              <w:pStyle w:val="TableContents"/>
              <w:bidi w:val="0"/>
              <w:spacing w:before="0" w:after="283"/>
              <w:jc w:val="left"/>
              <w:rPr/>
            </w:pPr>
            <w:r>
              <w:rPr/>
              <w:t>% </w:t>
            </w:r>
          </w:p>
        </w:tc>
      </w:tr>
      <w:tr>
        <w:trPr/>
        <w:tc>
          <w:tcPr>
            <w:tcW w:w="2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25th percentile</w:t>
            </w:r>
          </w:p>
        </w:tc>
        <w:tc>
          <w:tcPr>
            <w:tcW w:w="218"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(13.62</w:t>
            </w:r>
          </w:p>
        </w:tc>
        <w:tc>
          <w:tcPr>
            <w:tcW w:w="35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2022-2024 PSUs PAYOUTS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1"/>
        <w:gridCol w:w="445"/>
        <w:gridCol w:w="244"/>
        <w:gridCol w:w="1550"/>
        <w:gridCol w:w="275"/>
        <w:gridCol w:w="386"/>
        <w:gridCol w:w="259"/>
        <w:gridCol w:w="1137"/>
        <w:gridCol w:w="275"/>
        <w:gridCol w:w="386"/>
        <w:gridCol w:w="207"/>
        <w:gridCol w:w="1321"/>
        <w:gridCol w:w="279"/>
      </w:tblGrid>
      <w:tr>
        <w:trPr/>
        <w:tc>
          <w:tcPr>
            <w:tcW w:w="3441"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20222024 PSUs</w:t>
            </w:r>
          </w:p>
        </w:tc>
        <w:tc>
          <w:tcPr>
            <w:tcW w:w="445" w:type="dxa"/>
            <w:tcBorders/>
            <w:vAlign w:val="bottom"/>
          </w:tcPr>
          <w:p>
            <w:pPr>
              <w:pStyle w:val="TableContents"/>
              <w:bidi w:val="0"/>
              <w:spacing w:before="0" w:after="283"/>
              <w:jc w:val="left"/>
              <w:rPr/>
            </w:pPr>
            <w:r>
              <w:rPr/>
              <w:t>  </w:t>
            </w:r>
          </w:p>
        </w:tc>
        <w:tc>
          <w:tcPr>
            <w:tcW w:w="1794" w:type="dxa"/>
            <w:gridSpan w:val="2"/>
            <w:tcBorders>
              <w:bottom w:val="single" w:sz="8" w:space="0" w:color="000000"/>
            </w:tcBorders>
            <w:tcMar>
              <w:bottom w:w="28" w:type="dxa"/>
            </w:tcMar>
            <w:vAlign w:val="bottom"/>
          </w:tcPr>
          <w:p>
            <w:pPr>
              <w:pStyle w:val="TableContents"/>
              <w:bidi w:val="0"/>
              <w:spacing w:before="0" w:after="283"/>
              <w:jc w:val="center"/>
              <w:rPr/>
            </w:pPr>
            <w:r>
              <w:rPr>
                <w:b/>
              </w:rPr>
              <w:t>Three-Year</w:t>
            </w:r>
            <w:r>
              <w:rPr/>
              <w:br/>
            </w:r>
            <w:r>
              <w:rPr>
                <w:b/>
              </w:rPr>
              <w:t>Financial Metrics</w:t>
            </w:r>
          </w:p>
        </w:tc>
        <w:tc>
          <w:tcPr>
            <w:tcW w:w="27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pPr>
            <w:r>
              <w:rPr>
                <w:b/>
              </w:rPr>
              <w:t>Three-Year</w:t>
            </w:r>
            <w:r>
              <w:rPr/>
              <w:br/>
            </w:r>
            <w:r>
              <w:rPr>
                <w:b/>
              </w:rPr>
              <w:t>Relative TSR</w:t>
            </w:r>
          </w:p>
        </w:tc>
        <w:tc>
          <w:tcPr>
            <w:tcW w:w="27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Award Payout</w:t>
            </w:r>
          </w:p>
        </w:tc>
        <w:tc>
          <w:tcPr>
            <w:tcW w:w="279" w:type="dxa"/>
            <w:tcBorders/>
            <w:vAlign w:val="bottom"/>
          </w:tcPr>
          <w:p>
            <w:pPr>
              <w:pStyle w:val="TableContents"/>
              <w:bidi w:val="0"/>
              <w:spacing w:before="0" w:after="283"/>
              <w:jc w:val="left"/>
              <w:rPr/>
            </w:pPr>
            <w:r>
              <w:rPr/>
              <w:t> </w:t>
            </w:r>
          </w:p>
        </w:tc>
      </w:tr>
      <w:tr>
        <w:trPr/>
        <w:tc>
          <w:tcPr>
            <w:tcW w:w="3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Weighting</w:t>
            </w:r>
          </w:p>
        </w:tc>
        <w:tc>
          <w:tcPr>
            <w:tcW w:w="44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550"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100</w:t>
            </w:r>
          </w:p>
        </w:tc>
        <w:tc>
          <w:tcPr>
            <w:tcW w:w="279" w:type="dxa"/>
            <w:tcBorders/>
            <w:shd w:fill="CCEEFF" w:val="clear"/>
            <w:vAlign w:val="bottom"/>
          </w:tcPr>
          <w:p>
            <w:pPr>
              <w:pStyle w:val="TableContents"/>
              <w:bidi w:val="0"/>
              <w:spacing w:before="0" w:after="283"/>
              <w:jc w:val="left"/>
              <w:rPr/>
            </w:pPr>
            <w:r>
              <w:rPr/>
              <w:t>% </w:t>
            </w:r>
          </w:p>
        </w:tc>
      </w:tr>
      <w:tr>
        <w:trPr/>
        <w:tc>
          <w:tcPr>
            <w:tcW w:w="3441" w:type="dxa"/>
            <w:tcBorders/>
          </w:tcPr>
          <w:p>
            <w:pPr>
              <w:pStyle w:val="TableContents"/>
              <w:bidi w:val="0"/>
              <w:spacing w:before="0" w:after="0"/>
              <w:jc w:val="left"/>
              <w:rPr>
                <w:rFonts w:ascii="Times New Roman" w:hAnsi="Times New Roman"/>
                <w:sz w:val="20"/>
              </w:rPr>
            </w:pPr>
            <w:r>
              <w:rPr>
                <w:rFonts w:ascii="Times New Roman" w:hAnsi="Times New Roman"/>
                <w:sz w:val="20"/>
              </w:rPr>
              <w:t>Payout %</w:t>
            </w:r>
          </w:p>
        </w:tc>
        <w:tc>
          <w:tcPr>
            <w:tcW w:w="44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550" w:type="dxa"/>
            <w:tcBorders/>
            <w:vAlign w:val="bottom"/>
          </w:tcPr>
          <w:p>
            <w:pPr>
              <w:pStyle w:val="TableContents"/>
              <w:bidi w:val="0"/>
              <w:spacing w:before="0" w:after="283"/>
              <w:jc w:val="right"/>
              <w:rPr/>
            </w:pPr>
            <w:r>
              <w:rPr/>
              <w:t>158</w:t>
            </w:r>
          </w:p>
        </w:tc>
        <w:tc>
          <w:tcPr>
            <w:tcW w:w="27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119</w:t>
            </w:r>
          </w:p>
        </w:tc>
        <w:tc>
          <w:tcPr>
            <w:tcW w:w="27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NAMED EXECUTIVE OFFICER PAYOUTS FOR FISCAL 2022-2024 PSUs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12"/>
        <w:gridCol w:w="482"/>
        <w:gridCol w:w="75"/>
        <w:gridCol w:w="1032"/>
        <w:gridCol w:w="60"/>
        <w:gridCol w:w="482"/>
        <w:gridCol w:w="74"/>
        <w:gridCol w:w="1025"/>
        <w:gridCol w:w="63"/>
      </w:tblGrid>
      <w:tr>
        <w:trPr/>
        <w:tc>
          <w:tcPr>
            <w:tcW w:w="6912"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12" w:type="dxa"/>
            <w:tcBorders/>
            <w:vAlign w:val="bottom"/>
          </w:tcPr>
          <w:p>
            <w:pPr>
              <w:pStyle w:val="TableContents"/>
              <w:bidi w:val="0"/>
              <w:spacing w:before="0" w:after="283"/>
              <w:jc w:val="left"/>
              <w:rPr>
                <w:b/>
              </w:rPr>
            </w:pPr>
            <w:r>
              <w:rPr>
                <w:b/>
              </w:rPr>
              <w:t>Named Executive Officer</w:t>
            </w:r>
          </w:p>
        </w:tc>
        <w:tc>
          <w:tcPr>
            <w:tcW w:w="482" w:type="dxa"/>
            <w:tcBorders/>
            <w:vAlign w:val="bottom"/>
          </w:tcPr>
          <w:p>
            <w:pPr>
              <w:pStyle w:val="TableContents"/>
              <w:bidi w:val="0"/>
              <w:spacing w:before="0" w:after="283"/>
              <w:jc w:val="left"/>
              <w:rPr/>
            </w:pPr>
            <w:r>
              <w:rPr/>
              <w:t>  </w:t>
            </w:r>
          </w:p>
        </w:tc>
        <w:tc>
          <w:tcPr>
            <w:tcW w:w="110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Target Payout</w:t>
            </w:r>
          </w:p>
          <w:p>
            <w:pPr>
              <w:pStyle w:val="TableContents"/>
              <w:bidi w:val="0"/>
              <w:spacing w:before="0" w:after="0"/>
              <w:jc w:val="center"/>
              <w:rPr>
                <w:rFonts w:ascii="Times New Roman" w:hAnsi="Times New Roman"/>
                <w:b/>
                <w:sz w:val="16"/>
              </w:rPr>
            </w:pPr>
            <w:r>
              <w:rPr>
                <w:rFonts w:ascii="Times New Roman" w:hAnsi="Times New Roman"/>
                <w:b/>
                <w:sz w:val="16"/>
              </w:rPr>
              <w:t>(100%)</w:t>
            </w:r>
          </w:p>
          <w:p>
            <w:pPr>
              <w:pStyle w:val="TableContents"/>
              <w:bidi w:val="0"/>
              <w:spacing w:before="0" w:after="20"/>
              <w:jc w:val="center"/>
              <w:rPr>
                <w:rFonts w:ascii="Times New Roman" w:hAnsi="Times New Roman"/>
                <w:b/>
                <w:sz w:val="16"/>
              </w:rPr>
            </w:pPr>
            <w:r>
              <w:rPr>
                <w:rFonts w:ascii="Times New Roman" w:hAnsi="Times New Roman"/>
                <w:b/>
                <w:sz w:val="16"/>
              </w:rPr>
              <w:t>(# of Shares)</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Actual Payout</w:t>
            </w:r>
          </w:p>
          <w:p>
            <w:pPr>
              <w:pStyle w:val="TableContents"/>
              <w:bidi w:val="0"/>
              <w:spacing w:before="0" w:after="20"/>
              <w:jc w:val="center"/>
              <w:rPr>
                <w:rFonts w:ascii="Times New Roman" w:hAnsi="Times New Roman"/>
                <w:b/>
                <w:sz w:val="16"/>
              </w:rPr>
            </w:pPr>
            <w:r>
              <w:rPr>
                <w:rFonts w:ascii="Times New Roman" w:hAnsi="Times New Roman"/>
                <w:b/>
                <w:sz w:val="16"/>
              </w:rPr>
              <w:t>(# of Shares)</w:t>
            </w:r>
          </w:p>
        </w:tc>
        <w:tc>
          <w:tcPr>
            <w:tcW w:w="63" w:type="dxa"/>
            <w:tcBorders/>
            <w:vAlign w:val="bottom"/>
          </w:tcPr>
          <w:p>
            <w:pPr>
              <w:pStyle w:val="TableContents"/>
              <w:bidi w:val="0"/>
              <w:spacing w:before="0" w:after="283"/>
              <w:jc w:val="left"/>
              <w:rPr/>
            </w:pPr>
            <w:r>
              <w:rPr/>
              <w:t> </w:t>
            </w:r>
          </w:p>
        </w:tc>
      </w:tr>
      <w:tr>
        <w:trPr/>
        <w:tc>
          <w:tcPr>
            <w:tcW w:w="69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48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142,314</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169,353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SECTION 4FISCAL 2025 DECISIONS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2025 Compensation Changes </w:t>
      </w:r>
    </w:p>
    <w:p>
      <w:pPr>
        <w:pStyle w:val="TextBody"/>
        <w:bidi w:val="0"/>
        <w:spacing w:before="120" w:after="0"/>
        <w:jc w:val="left"/>
        <w:rPr>
          <w:rFonts w:ascii="Times New Roman" w:hAnsi="Times New Roman"/>
          <w:sz w:val="20"/>
        </w:rPr>
      </w:pPr>
      <w:r>
        <w:rPr>
          <w:rFonts w:ascii="Times New Roman" w:hAnsi="Times New Roman"/>
          <w:sz w:val="20"/>
        </w:rPr>
        <w:t xml:space="preserve">In fiscal 2024, the WDC Compensation and Talent Committee, in connection with its annual review of the WDC executive officers compensation levels and input from its independent compensation consultant, approved fiscal 2025 compensation changes for its named executive officers, including Mr. Goeckeler, effective on June 29, 2024, to reflect market compensation levels and to recognize strong performance by the executive team while continuing to align executive compensation with long-term stockholder interests. </w:t>
      </w:r>
    </w:p>
    <w:p>
      <w:pPr>
        <w:pStyle w:val="TextBody"/>
        <w:bidi w:val="0"/>
        <w:spacing w:before="240" w:after="0"/>
        <w:jc w:val="left"/>
        <w:rPr>
          <w:rFonts w:ascii="Times New Roman" w:hAnsi="Times New Roman"/>
          <w:sz w:val="20"/>
        </w:rPr>
      </w:pPr>
      <w:r>
        <w:rPr>
          <w:rFonts w:ascii="Times New Roman" w:hAnsi="Times New Roman"/>
          <w:sz w:val="20"/>
        </w:rPr>
        <w:t xml:space="preserve">Mr. Goeckelers base salary was increased to $1,300,000, and his target LTI award was increased to $16,250,000. </w:t>
      </w:r>
    </w:p>
    <w:p>
      <w:pPr>
        <w:pStyle w:val="TextBody"/>
        <w:bidi w:val="0"/>
        <w:spacing w:before="360" w:after="0"/>
        <w:jc w:val="left"/>
        <w:rPr>
          <w:rFonts w:ascii="Times New Roman" w:hAnsi="Times New Roman"/>
          <w:b/>
          <w:sz w:val="20"/>
        </w:rPr>
      </w:pPr>
      <w:r>
        <w:rPr>
          <w:rFonts w:ascii="Times New Roman" w:hAnsi="Times New Roman"/>
          <w:b/>
          <w:sz w:val="20"/>
        </w:rPr>
        <w:t xml:space="preserve">Fiscal 2025 LTI Awards </w:t>
      </w:r>
    </w:p>
    <w:p>
      <w:pPr>
        <w:pStyle w:val="TextBody"/>
        <w:bidi w:val="0"/>
        <w:spacing w:before="120" w:after="0"/>
        <w:jc w:val="left"/>
        <w:rPr>
          <w:rFonts w:ascii="Times New Roman" w:hAnsi="Times New Roman"/>
          <w:sz w:val="20"/>
        </w:rPr>
      </w:pPr>
      <w:r>
        <w:rPr>
          <w:rFonts w:ascii="Times New Roman" w:hAnsi="Times New Roman"/>
          <w:sz w:val="20"/>
        </w:rPr>
        <w:t xml:space="preserve">The WDC Compensation and Talent Committee granted the following LTI awards to Mr. Goeckeler in fiscal 2025, as part of WDCs annual LTI program: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52"/>
        <w:gridCol w:w="367"/>
        <w:gridCol w:w="92"/>
        <w:gridCol w:w="1788"/>
        <w:gridCol w:w="60"/>
        <w:gridCol w:w="367"/>
        <w:gridCol w:w="107"/>
        <w:gridCol w:w="473"/>
        <w:gridCol w:w="299"/>
        <w:gridCol w:w="313"/>
        <w:gridCol w:w="113"/>
        <w:gridCol w:w="494"/>
        <w:gridCol w:w="280"/>
      </w:tblGrid>
      <w:tr>
        <w:trPr/>
        <w:tc>
          <w:tcPr>
            <w:tcW w:w="5452"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452"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367" w:type="dxa"/>
            <w:vMerge w:val="restart"/>
            <w:tcBorders/>
            <w:vAlign w:val="bottom"/>
          </w:tcPr>
          <w:p>
            <w:pPr>
              <w:pStyle w:val="TableContents"/>
              <w:bidi w:val="0"/>
              <w:spacing w:before="0" w:after="283"/>
              <w:jc w:val="left"/>
              <w:rPr/>
            </w:pPr>
            <w:r>
              <w:rPr/>
              <w:t>  </w:t>
            </w:r>
          </w:p>
        </w:tc>
        <w:tc>
          <w:tcPr>
            <w:tcW w:w="18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LTI Target</w:t>
            </w:r>
            <w:r>
              <w:rPr/>
              <w:br/>
            </w:r>
            <w:r>
              <w:rPr>
                <w:b/>
              </w:rPr>
              <w:t>Grant Value</w:t>
            </w:r>
            <w:r>
              <w:rPr/>
              <w:br/>
            </w:r>
            <w:r>
              <w:rPr>
                <w:b/>
              </w:rPr>
              <w:t>($)(1)</w:t>
            </w:r>
          </w:p>
        </w:tc>
        <w:tc>
          <w:tcPr>
            <w:tcW w:w="60" w:type="dxa"/>
            <w:vMerge w:val="restart"/>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7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LTI Vehicle</w:t>
              <w:br/>
              <w:t>Mix</w:t>
            </w:r>
          </w:p>
        </w:tc>
        <w:tc>
          <w:tcPr>
            <w:tcW w:w="280" w:type="dxa"/>
            <w:tcBorders/>
            <w:vAlign w:val="bottom"/>
          </w:tcPr>
          <w:p>
            <w:pPr>
              <w:pStyle w:val="TableContents"/>
              <w:bidi w:val="0"/>
              <w:spacing w:before="0" w:after="283"/>
              <w:jc w:val="left"/>
              <w:rPr/>
            </w:pPr>
            <w:r>
              <w:rPr/>
              <w:t> </w:t>
            </w:r>
          </w:p>
        </w:tc>
      </w:tr>
      <w:tr>
        <w:trPr/>
        <w:tc>
          <w:tcPr>
            <w:tcW w:w="5452" w:type="dxa"/>
            <w:vMerge w:val="continue"/>
            <w:tcBorders/>
            <w:vAlign w:val="bottom"/>
          </w:tcPr>
          <w:p>
            <w:pPr>
              <w:pStyle w:val="Normal"/>
              <w:bidi w:val="0"/>
              <w:jc w:val="left"/>
              <w:rPr/>
            </w:pPr>
            <w:r>
              <w:rPr/>
            </w:r>
          </w:p>
        </w:tc>
        <w:tc>
          <w:tcPr>
            <w:tcW w:w="367" w:type="dxa"/>
            <w:vMerge w:val="continue"/>
            <w:tcBorders/>
            <w:vAlign w:val="bottom"/>
          </w:tcPr>
          <w:p>
            <w:pPr>
              <w:pStyle w:val="Normal"/>
              <w:bidi w:val="0"/>
              <w:jc w:val="left"/>
              <w:rPr/>
            </w:pPr>
            <w:r>
              <w:rPr/>
            </w:r>
          </w:p>
        </w:tc>
        <w:tc>
          <w:tcPr>
            <w:tcW w:w="188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367"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PSUs</w:t>
            </w:r>
          </w:p>
        </w:tc>
        <w:tc>
          <w:tcPr>
            <w:tcW w:w="299"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RSUs</w:t>
            </w:r>
          </w:p>
        </w:tc>
        <w:tc>
          <w:tcPr>
            <w:tcW w:w="280" w:type="dxa"/>
            <w:tcBorders/>
            <w:vAlign w:val="bottom"/>
          </w:tcPr>
          <w:p>
            <w:pPr>
              <w:pStyle w:val="TableContents"/>
              <w:bidi w:val="0"/>
              <w:spacing w:before="0" w:after="283"/>
              <w:jc w:val="left"/>
              <w:rPr/>
            </w:pPr>
            <w:r>
              <w:rPr/>
              <w:t> </w:t>
            </w:r>
          </w:p>
        </w:tc>
      </w:tr>
      <w:tr>
        <w:trPr/>
        <w:tc>
          <w:tcPr>
            <w:tcW w:w="5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36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16,250,000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60</w:t>
            </w:r>
          </w:p>
        </w:tc>
        <w:tc>
          <w:tcPr>
            <w:tcW w:w="299"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right"/>
              <w:rPr/>
            </w:pPr>
            <w:r>
              <w:rPr/>
              <w:t>40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Spin-Off Related Cash Transaction Bonus </w:t>
      </w:r>
    </w:p>
    <w:p>
      <w:pPr>
        <w:pStyle w:val="TextBody"/>
        <w:bidi w:val="0"/>
        <w:spacing w:before="120" w:after="0"/>
        <w:jc w:val="left"/>
        <w:rPr>
          <w:rFonts w:ascii="Times New Roman" w:hAnsi="Times New Roman"/>
          <w:sz w:val="20"/>
        </w:rPr>
      </w:pPr>
      <w:r>
        <w:rPr>
          <w:rFonts w:ascii="Times New Roman" w:hAnsi="Times New Roman"/>
          <w:sz w:val="20"/>
        </w:rPr>
        <w:t xml:space="preserve">On January 25, 2025, WDC granted Mr. Goeckeler a cash transaction bonus in connection with the spin-off, in an amount equal to 24 times his then-current monthly base salary. The transaction bonus payment was made by Sandisk post-separation and is subject to repayment terms for 12 months following the separation in the event of specified termination events.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5OTHER PROGRAM FEATURES AND POLICIES7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3"/>
        <w:gridCol w:w="203"/>
        <w:gridCol w:w="7349"/>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Perquisites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We provide our executive officers with limited perquisites and other personal benefits, consisting principally of a $5,000 annual allowance for financial planning services (net of taxes) and, in very limited circumstances, tax gross-ups for certain payments.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Our policy permits Mr. Goeckeler (in his capacity as CEO) to use private aircraft, in which we have a fractional ownership interest, for personal travel to maximize his business availability and productivity. Mr. Goeckeler is required to reimburse the company for the aggregate incremental cost incurred by the company in connection with any such personal use in excess of $250,000 per fiscal year. He is fully responsible for all personal income taxes associated with such personal usage.</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401(k) Plan</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Our executive officers are eligible to participate in our 401(k) Plan. Eligible employees may contribute up to 85% of their annual cash compensation up to a maximum amount allowed by the Internal Revenue Code, and are also eligible for any matching contributions. Our executive officers participate in our 401(k) Plan on substantially the same terms as our other participating employees. We do not maintain any defined benefit supplemental retirement plans for our executive officers.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3"/>
        <w:gridCol w:w="7349"/>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Deferred Compensation Opportunities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Our executive officers who are subject to U.S. federal income taxes are eligible to participate in our Deferred Compensation Plan. Under the plan, participants can elect to defer certain compensation without regard to the tax code limitations applicable to tax-qualified plans.</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Severance Protections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Our executive officers are eligible to participate in our Executive Severance Plan. Outside a change in control context, we view severance protections as only appropriate in the event the employment of an executive officer is involuntarily terminated without cause.</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Change in Control Protections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To encourage our executive officers to remain employed during an important time when their prospects for continued employment following the transaction are often uncertain, we provide our executive officers with additional severance protections under our change in control severance plan (the Sandisk CIC Severance Plan). Benefits under the Sandisk CIC Severance Plan require a double-trigger (qualifying termination in connection with a change in control) for payment and the plan does not provide any tax gross-up payments for participants.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Please see the section entitled Executive Compensation Tables and NarrativesPotential Payments upon Termination or Change in Control for a description and quantification of the potential payments that may be made to WDCs named executive officers in connection with their termination of employment or a change in control of WDC (based on its severance arrangements that existed as of the end of fiscal 2024). The spin-off transaction did not constitute a change in control of WDC under WDCs Change in Control Severance Plan. In connection with the separation, Sandisk has adopted substantially similar change in control protections for its executive officers.</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Employment Agreements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As described in further detail below under Offer Letters, WDC entered into an offer letter dated July 1, 2024 with our Chief Financial Officer, Mr. Visoso. The offer letter provided for Mr. Visosos employment with WDC to transfer to Sandisk. Mr. Goeckeler is not currently party to an employment agreement with Sandisk.</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Compensation Recovery (Clawback) Policy</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Our Board of Directors adopted a compensation recovery (clawback) policy consistent with the requirements of Rule 10D-1 under the Exchange Act and Nasdaq listing standards, a copy of which will be publicly filed with our fiscal 2025 Annual Report on Form 10-K.</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Misconduct Policies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We maintain several policies relating to employee misconduct. In the event an executive officers employment is terminated for cause due to their misconduct or violation of company policy, among other reasons, they forfeit all outstanding incentives, including unearned or unvested LTI and STI awards. In addition, the executive officer would not be eligible for severance payments or benefits.</w:t>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Policies Prohibiting Hedging, Pledging and Short Sale or Derivative Transaction</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Our insider trading policy prohibits our executive officers (as well as our other employees and members of our Board of Directors) from engaging in hedging transactions or speculative transactions involving Sandisks securities and from pledging company securities. Prohibited transactions include hedging or monetization transactions, such as prepaid variable forwards, equity swaps, collars and exchange funds that are designed to hedge or offset any decrease in the market value of Sandisks securities, shorts sales, transactions in derivative securities, such as publicly traded options, related to Sandisks securities and margining Sandisks securities in a margin account or otherwise pledging Sandisk securities as collateral for a loan.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3"/>
        <w:gridCol w:w="7349"/>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Executive Stock Ownership Guidelines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We maintain executive stock ownership guidelines covering our executive officers, including our named executive officer, to help link the interests of our stockholders with those of our executive officers. The guidelines provide that each executive officer must achieve ownership of a number of qualifying shares with a market value equal to the specified multiple of the officers base salary in effect upon the date he or she first becomes subject to the guidelines shown below.</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1"/>
        <w:gridCol w:w="202"/>
        <w:gridCol w:w="3062"/>
      </w:tblGrid>
      <w:tr>
        <w:trPr/>
        <w:tc>
          <w:tcPr>
            <w:tcW w:w="694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r>
      <w:tr>
        <w:trPr/>
        <w:tc>
          <w:tcPr>
            <w:tcW w:w="69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c>
          <w:tcPr>
            <w:tcW w:w="202" w:type="dxa"/>
            <w:tcBorders/>
            <w:vAlign w:val="bottom"/>
          </w:tcPr>
          <w:p>
            <w:pPr>
              <w:pStyle w:val="TableContents"/>
              <w:bidi w:val="0"/>
              <w:spacing w:before="0" w:after="283"/>
              <w:jc w:val="left"/>
              <w:rPr/>
            </w:pPr>
            <w:r>
              <w:rPr/>
              <w:t>  </w:t>
            </w:r>
          </w:p>
        </w:tc>
        <w:tc>
          <w:tcPr>
            <w:tcW w:w="30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Multiple</w:t>
            </w:r>
          </w:p>
        </w:tc>
      </w:tr>
      <w:tr>
        <w:trPr/>
        <w:tc>
          <w:tcPr>
            <w:tcW w:w="6941" w:type="dxa"/>
            <w:tcBorders/>
          </w:tcPr>
          <w:p>
            <w:pPr>
              <w:pStyle w:val="TableContents"/>
              <w:bidi w:val="0"/>
              <w:spacing w:before="0" w:after="283"/>
              <w:jc w:val="left"/>
              <w:rPr/>
            </w:pPr>
            <w:r>
              <w:rPr/>
              <w:t>CEO</w:t>
            </w:r>
          </w:p>
        </w:tc>
        <w:tc>
          <w:tcPr>
            <w:tcW w:w="2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center"/>
              <w:rPr/>
            </w:pPr>
            <w:r>
              <w:rPr/>
              <w:t>6 x Salary</w:t>
            </w:r>
          </w:p>
        </w:tc>
      </w:tr>
      <w:tr>
        <w:trPr/>
        <w:tc>
          <w:tcPr>
            <w:tcW w:w="6941" w:type="dxa"/>
            <w:tcBorders/>
          </w:tcPr>
          <w:p>
            <w:pPr>
              <w:pStyle w:val="TableContents"/>
              <w:bidi w:val="0"/>
              <w:spacing w:before="0" w:after="283"/>
              <w:jc w:val="left"/>
              <w:rPr/>
            </w:pPr>
            <w:r>
              <w:rPr/>
              <w:t>CFO</w:t>
            </w:r>
          </w:p>
        </w:tc>
        <w:tc>
          <w:tcPr>
            <w:tcW w:w="2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center"/>
              <w:rPr/>
            </w:pPr>
            <w:r>
              <w:rPr/>
              <w:t>3 x Salary</w:t>
            </w:r>
          </w:p>
        </w:tc>
      </w:tr>
      <w:tr>
        <w:trPr/>
        <w:tc>
          <w:tcPr>
            <w:tcW w:w="6941" w:type="dxa"/>
            <w:tcBorders/>
          </w:tcPr>
          <w:p>
            <w:pPr>
              <w:pStyle w:val="TableContents"/>
              <w:bidi w:val="0"/>
              <w:spacing w:before="0" w:after="283"/>
              <w:jc w:val="left"/>
              <w:rPr/>
            </w:pPr>
            <w:r>
              <w:rPr/>
              <w:t>Executive Vice Presidents</w:t>
            </w:r>
          </w:p>
        </w:tc>
        <w:tc>
          <w:tcPr>
            <w:tcW w:w="2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center"/>
              <w:rPr/>
            </w:pPr>
            <w:r>
              <w:rPr/>
              <w:t>2 x Salary</w:t>
            </w:r>
          </w:p>
        </w:tc>
      </w:tr>
      <w:tr>
        <w:trPr/>
        <w:tc>
          <w:tcPr>
            <w:tcW w:w="6941" w:type="dxa"/>
            <w:tcBorders/>
          </w:tcPr>
          <w:p>
            <w:pPr>
              <w:pStyle w:val="TableContents"/>
              <w:bidi w:val="0"/>
              <w:spacing w:before="0" w:after="283"/>
              <w:jc w:val="left"/>
              <w:rPr/>
            </w:pPr>
            <w:r>
              <w:rPr/>
              <w:t>Senior Vice Presidents</w:t>
            </w:r>
          </w:p>
        </w:tc>
        <w:tc>
          <w:tcPr>
            <w:tcW w:w="2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center"/>
              <w:rPr/>
            </w:pPr>
            <w:r>
              <w:rPr/>
              <w:t>1 x Salary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executive officer must achieve ownership of the required market value of shares within three years of becoming subject to the guidelines. Common stock, RSUs, PSUs, deferred stock units and common stock beneficially owned by the executive officer all count towards the requirement, but shares the officer has a right to acquire through exercising stock options (whether or not vested) are not counted.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TABLES AND NARRATIVES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applicable SEC rules, information in the tables below regarding compensation paid to or earned by Mr. Goeckeler for fiscal 2024 relates to compensation paid by, and executive compensation policies and practices of, WDC as in effect in fiscal 2024 and prior to the separation. Where applicable, we have summarized below executive compensation policies and practices applicable to Sandisk following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Fiscal 2024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compensation earned for fiscal 2024 by Mr. Goeckeler. </w:t>
      </w:r>
    </w:p>
    <w:p>
      <w:pPr>
        <w:pStyle w:val="TextBody"/>
        <w:bidi w:val="0"/>
        <w:spacing w:before="0" w:after="0"/>
        <w:jc w:val="left"/>
        <w:rPr/>
      </w:pPr>
      <w:r>
        <w:rPr/>
        <w:t> </w:t>
      </w:r>
    </w:p>
    <w:tbl>
      <w:tblPr>
        <w:tblW w:w="10330" w:type="dxa"/>
        <w:jc w:val="center"/>
        <w:tblInd w:w="0" w:type="dxa"/>
        <w:tblLayout w:type="fixed"/>
        <w:tblCellMar>
          <w:top w:w="0" w:type="dxa"/>
          <w:left w:w="0" w:type="dxa"/>
          <w:bottom w:w="0" w:type="dxa"/>
          <w:right w:w="0" w:type="dxa"/>
        </w:tblCellMar>
      </w:tblPr>
      <w:tblGrid>
        <w:gridCol w:w="1460"/>
        <w:gridCol w:w="120"/>
        <w:gridCol w:w="64"/>
        <w:gridCol w:w="541"/>
        <w:gridCol w:w="60"/>
        <w:gridCol w:w="120"/>
        <w:gridCol w:w="60"/>
        <w:gridCol w:w="980"/>
        <w:gridCol w:w="60"/>
        <w:gridCol w:w="120"/>
        <w:gridCol w:w="199"/>
        <w:gridCol w:w="466"/>
        <w:gridCol w:w="60"/>
        <w:gridCol w:w="120"/>
        <w:gridCol w:w="60"/>
        <w:gridCol w:w="1100"/>
        <w:gridCol w:w="60"/>
        <w:gridCol w:w="120"/>
        <w:gridCol w:w="85"/>
        <w:gridCol w:w="1405"/>
        <w:gridCol w:w="60"/>
        <w:gridCol w:w="120"/>
        <w:gridCol w:w="120"/>
        <w:gridCol w:w="1370"/>
        <w:gridCol w:w="60"/>
        <w:gridCol w:w="120"/>
        <w:gridCol w:w="60"/>
        <w:gridCol w:w="1100"/>
        <w:gridCol w:w="6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and Principal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Position</w:t>
            </w:r>
          </w:p>
        </w:tc>
        <w:tc>
          <w:tcPr>
            <w:tcW w:w="120" w:type="dxa"/>
            <w:tcBorders/>
            <w:vAlign w:val="bottom"/>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bottom"/>
          </w:tcPr>
          <w:p>
            <w:pPr>
              <w:pStyle w:val="TableContents"/>
              <w:bidi w:val="0"/>
              <w:spacing w:before="0" w:after="283"/>
              <w:jc w:val="center"/>
              <w:rPr/>
            </w:pPr>
            <w:r>
              <w:rPr>
                <w:b/>
              </w:rPr>
              <w:t>Fiscal</w:t>
            </w:r>
            <w:r>
              <w:rPr/>
              <w:br/>
            </w:r>
            <w:r>
              <w:rPr>
                <w:b/>
              </w:rP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Salary</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Bonus</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r>
            <w:r>
              <w:rPr/>
              <w:br/>
            </w:r>
            <w:r>
              <w:rPr>
                <w:b/>
              </w:rPr>
              <w:t>Awards</w:t>
            </w:r>
            <w:r>
              <w:rPr/>
              <w:br/>
            </w:r>
            <w:r>
              <w:rPr>
                <w:b/>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r>
            <w:r>
              <w:rPr/>
              <w:br/>
            </w:r>
            <w:r>
              <w:rPr>
                <w:b/>
              </w:rPr>
              <w:t>Incentive Plan</w:t>
            </w:r>
            <w:r>
              <w:rPr/>
              <w:br/>
            </w:r>
            <w:r>
              <w:rPr>
                <w:b/>
              </w:rPr>
              <w:t>Compensation</w:t>
            </w:r>
            <w:r>
              <w:rPr/>
              <w:br/>
            </w:r>
            <w:r>
              <w:rPr>
                <w:b/>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Compensation</w:t>
            </w:r>
            <w:r>
              <w:rPr/>
              <w:br/>
            </w:r>
            <w:r>
              <w:rPr>
                <w:b/>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David V. Goeckeler</w:t>
            </w:r>
            <w:r>
              <w:rPr>
                <w:rFonts w:ascii="Times New Roman" w:hAnsi="Times New Roman"/>
                <w:sz w:val="20"/>
              </w:rPr>
              <w:br/>
              <w:t>Chief Executive Officer</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1,245,192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12,033,939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4,326,875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84,766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17,690,772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reflect the aggregate grant date fair value of stock awards granted in the applicable fiscal year computed in accordance with ASC Topic 718. These amounts were calculated based on the assumptions described in Note 12 in the Notes to Consolidated Financial Statements included in WDCs 2024 Annual Report on Form 10-K. For PSU awards, amounts include the grant date fair value of the 20242026 PSUs and the 2023-2025 PSUs, in each case, as related to the fiscal 2024 performance period because only the annual targets for such performance periods were established in fiscal 2024, and thus, such portions of the awards are deemed granted for financial accounting purposes during fiscal 2024. The grant date fair value of the remaining PSUs under the 2024-2026 and 2023-2025 PSU awards will be reflected in the Summary Compensation Table after the spin-off in a manner consistent with their conversion to RSUs.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amounts represent the grant date fair value of PSU awards granted to Mr. Goeckeler during fiscal 2024 assuming the probable outcome of the awards on the grant date and assuming maximum performance under the awards deemed granted during fiscal 2024. WDC considered the probable outcome of the awards based on the target level of performance for PSUs except for PSUs that are subject to relative TSR or stock price CAGR conditions, which were determined using a Monte Carlo simulation. As 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above, for the 2024-2026 and 2023-2025 PSUs, the grant date fair values for the fiscal 2024 performance period of such PSUs have been included because such portions of the awards are deemed granted in fiscal 2024 for financial accounting purposes. The dollar value of the awards included in the Summary Compensation Table for the year of grant is based on the probable outcome of the awards on the grant date and do not reflect actual payouts.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4"/>
        <w:gridCol w:w="132"/>
        <w:gridCol w:w="100"/>
        <w:gridCol w:w="1647"/>
        <w:gridCol w:w="116"/>
        <w:gridCol w:w="268"/>
        <w:gridCol w:w="100"/>
        <w:gridCol w:w="1649"/>
        <w:gridCol w:w="60"/>
        <w:gridCol w:w="300"/>
        <w:gridCol w:w="60"/>
        <w:gridCol w:w="1005"/>
        <w:gridCol w:w="60"/>
        <w:gridCol w:w="131"/>
        <w:gridCol w:w="60"/>
        <w:gridCol w:w="1005"/>
        <w:gridCol w:w="68"/>
      </w:tblGrid>
      <w:tr>
        <w:trPr/>
        <w:tc>
          <w:tcPr>
            <w:tcW w:w="344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4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32" w:type="dxa"/>
            <w:tcBorders/>
            <w:vAlign w:val="bottom"/>
          </w:tcPr>
          <w:p>
            <w:pPr>
              <w:pStyle w:val="TableContents"/>
              <w:bidi w:val="0"/>
              <w:spacing w:before="0" w:after="283"/>
              <w:jc w:val="left"/>
              <w:rPr/>
            </w:pPr>
            <w:r>
              <w:rPr/>
              <w:t>  </w:t>
            </w:r>
          </w:p>
        </w:tc>
        <w:tc>
          <w:tcPr>
            <w:tcW w:w="3880" w:type="dxa"/>
            <w:gridSpan w:val="6"/>
            <w:tcBorders>
              <w:bottom w:val="single" w:sz="8" w:space="0" w:color="000000"/>
            </w:tcBorders>
            <w:tcMar>
              <w:bottom w:w="28" w:type="dxa"/>
            </w:tcMar>
            <w:vAlign w:val="bottom"/>
          </w:tcPr>
          <w:p>
            <w:pPr>
              <w:pStyle w:val="TableContents"/>
              <w:bidi w:val="0"/>
              <w:spacing w:before="0" w:after="283"/>
              <w:jc w:val="center"/>
              <w:rPr/>
            </w:pPr>
            <w:r>
              <w:rPr>
                <w:b/>
              </w:rPr>
              <w:t>Grant Date Fair Value of PSU</w:t>
            </w:r>
            <w:r>
              <w:rPr/>
              <w:br/>
            </w:r>
            <w:r>
              <w:rPr>
                <w:b/>
              </w:rPr>
              <w:t>Awards Based on Probable Outcome</w:t>
            </w:r>
            <w:r>
              <w:rPr/>
              <w:br/>
            </w:r>
            <w:r>
              <w:rPr>
                <w:b/>
              </w:rPr>
              <w:t>on the Grant Date for:</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321" w:type="dxa"/>
            <w:gridSpan w:val="6"/>
            <w:tcBorders>
              <w:bottom w:val="single" w:sz="8" w:space="0" w:color="000000"/>
            </w:tcBorders>
            <w:tcMar>
              <w:bottom w:w="28" w:type="dxa"/>
            </w:tcMar>
            <w:vAlign w:val="bottom"/>
          </w:tcPr>
          <w:p>
            <w:pPr>
              <w:pStyle w:val="TableContents"/>
              <w:bidi w:val="0"/>
              <w:spacing w:before="0" w:after="283"/>
              <w:jc w:val="center"/>
              <w:rPr/>
            </w:pPr>
            <w:r>
              <w:rPr>
                <w:b/>
              </w:rPr>
              <w:t>Grant Date Fair Value of</w:t>
            </w:r>
            <w:r>
              <w:rPr/>
              <w:br/>
            </w:r>
            <w:r>
              <w:rPr>
                <w:b/>
              </w:rPr>
              <w:t>PSU Awards at Maximum</w:t>
            </w:r>
            <w:r>
              <w:rPr/>
              <w:br/>
            </w:r>
            <w:r>
              <w:rPr>
                <w:b/>
              </w:rPr>
              <w:t>Performance for:</w:t>
            </w:r>
          </w:p>
        </w:tc>
        <w:tc>
          <w:tcPr>
            <w:tcW w:w="68"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8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3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 ($)</w:t>
            </w:r>
          </w:p>
        </w:tc>
        <w:tc>
          <w:tcPr>
            <w:tcW w:w="68"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47" w:type="dxa"/>
            <w:gridSpan w:val="2"/>
            <w:tcBorders/>
            <w:vAlign w:val="bottom"/>
          </w:tcPr>
          <w:p>
            <w:pPr>
              <w:pStyle w:val="TableContents"/>
              <w:bidi w:val="0"/>
              <w:spacing w:before="0" w:after="283"/>
              <w:jc w:val="center"/>
              <w:rPr>
                <w:b/>
              </w:rPr>
            </w:pPr>
            <w:r>
              <w:rPr>
                <w:b/>
              </w:rPr>
              <w:t>2023 - 2025</w:t>
            </w:r>
          </w:p>
        </w:tc>
        <w:tc>
          <w:tcPr>
            <w:tcW w:w="11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49" w:type="dxa"/>
            <w:gridSpan w:val="2"/>
            <w:tcBorders/>
            <w:vAlign w:val="bottom"/>
          </w:tcPr>
          <w:p>
            <w:pPr>
              <w:pStyle w:val="TableContents"/>
              <w:bidi w:val="0"/>
              <w:spacing w:before="0" w:after="283"/>
              <w:jc w:val="center"/>
              <w:rPr>
                <w:b/>
              </w:rPr>
            </w:pPr>
            <w:r>
              <w:rPr>
                <w:b/>
              </w:rPr>
              <w:t>2024 - 2026</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bidi w:val="0"/>
              <w:spacing w:before="0" w:after="283"/>
              <w:jc w:val="center"/>
              <w:rPr>
                <w:b/>
              </w:rPr>
            </w:pPr>
            <w:r>
              <w:rPr>
                <w:b/>
              </w:rPr>
              <w:t>2023 - 2025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bidi w:val="0"/>
              <w:spacing w:before="0" w:after="283"/>
              <w:jc w:val="center"/>
              <w:rPr>
                <w:b/>
              </w:rPr>
            </w:pPr>
            <w:r>
              <w:rPr>
                <w:b/>
              </w:rPr>
              <w:t>2024 - 2026</w:t>
            </w:r>
          </w:p>
        </w:tc>
        <w:tc>
          <w:tcPr>
            <w:tcW w:w="68"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47" w:type="dxa"/>
            <w:gridSpan w:val="2"/>
            <w:tcBorders/>
            <w:vAlign w:val="bottom"/>
          </w:tcPr>
          <w:p>
            <w:pPr>
              <w:pStyle w:val="TableContents"/>
              <w:bidi w:val="0"/>
              <w:spacing w:before="0" w:after="283"/>
              <w:jc w:val="center"/>
              <w:rPr>
                <w:b/>
              </w:rPr>
            </w:pPr>
            <w:r>
              <w:rPr>
                <w:b/>
              </w:rPr>
              <w:t>PSUs</w:t>
            </w:r>
          </w:p>
        </w:tc>
        <w:tc>
          <w:tcPr>
            <w:tcW w:w="11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49" w:type="dxa"/>
            <w:gridSpan w:val="2"/>
            <w:tcBorders/>
            <w:vAlign w:val="bottom"/>
          </w:tcPr>
          <w:p>
            <w:pPr>
              <w:pStyle w:val="TableContents"/>
              <w:bidi w:val="0"/>
              <w:spacing w:before="0" w:after="283"/>
              <w:jc w:val="center"/>
              <w:rPr>
                <w:b/>
              </w:rPr>
            </w:pPr>
            <w:r>
              <w:rPr>
                <w:b/>
              </w:rPr>
              <w:t>PSUs</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bidi w:val="0"/>
              <w:spacing w:before="0" w:after="283"/>
              <w:jc w:val="center"/>
              <w:rPr>
                <w:b/>
              </w:rPr>
            </w:pPr>
            <w:r>
              <w:rPr>
                <w:b/>
              </w:rPr>
              <w:t>PSUs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bidi w:val="0"/>
              <w:spacing w:before="0" w:after="283"/>
              <w:jc w:val="center"/>
              <w:rPr>
                <w:b/>
              </w:rPr>
            </w:pPr>
            <w:r>
              <w:rPr>
                <w:b/>
              </w:rPr>
              <w:t>PSUs</w:t>
            </w:r>
          </w:p>
        </w:tc>
        <w:tc>
          <w:tcPr>
            <w:tcW w:w="68"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880" w:type="dxa"/>
            <w:gridSpan w:val="6"/>
            <w:tcBorders/>
            <w:vAlign w:val="bottom"/>
          </w:tcPr>
          <w:p>
            <w:pPr>
              <w:pStyle w:val="TableContents"/>
              <w:bidi w:val="0"/>
              <w:spacing w:before="0" w:after="283"/>
              <w:jc w:val="center"/>
              <w:rPr>
                <w:b/>
              </w:rPr>
            </w:pPr>
            <w:r>
              <w:rPr>
                <w:b/>
              </w:rPr>
              <w:t>2024 Performance Period</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321" w:type="dxa"/>
            <w:gridSpan w:val="6"/>
            <w:tcBorders/>
            <w:vAlign w:val="bottom"/>
          </w:tcPr>
          <w:p>
            <w:pPr>
              <w:pStyle w:val="TableContents"/>
              <w:bidi w:val="0"/>
              <w:spacing w:before="0" w:after="283"/>
              <w:jc w:val="center"/>
              <w:rPr>
                <w:b/>
              </w:rPr>
            </w:pPr>
            <w:r>
              <w:rPr>
                <w:b/>
              </w:rPr>
              <w:t>2024 Performance Period</w:t>
            </w:r>
          </w:p>
        </w:tc>
        <w:tc>
          <w:tcPr>
            <w:tcW w:w="68" w:type="dxa"/>
            <w:tcBorders/>
            <w:vAlign w:val="bottom"/>
          </w:tcPr>
          <w:p>
            <w:pPr>
              <w:pStyle w:val="TableContents"/>
              <w:bidi w:val="0"/>
              <w:spacing w:before="0" w:after="283"/>
              <w:jc w:val="left"/>
              <w:rPr/>
            </w:pPr>
            <w:r>
              <w:rPr/>
              <w:t> </w:t>
            </w:r>
          </w:p>
        </w:tc>
      </w:tr>
      <w:tr>
        <w:trPr/>
        <w:tc>
          <w:tcPr>
            <w:tcW w:w="34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132"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2,931,373</w:t>
            </w:r>
          </w:p>
        </w:tc>
        <w:tc>
          <w:tcPr>
            <w:tcW w:w="11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3,102,574</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8,794,118</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6,825,663</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Mr. Goeckelers STI payout for the corresponding fiscal year.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table below summarizes the amounts reported in the All Other Compensation column for Mr. Goeckeler for fiscal 2024: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7"/>
        <w:gridCol w:w="448"/>
        <w:gridCol w:w="91"/>
        <w:gridCol w:w="1050"/>
        <w:gridCol w:w="341"/>
        <w:gridCol w:w="399"/>
        <w:gridCol w:w="139"/>
        <w:gridCol w:w="1337"/>
        <w:gridCol w:w="63"/>
      </w:tblGrid>
      <w:tr>
        <w:trPr/>
        <w:tc>
          <w:tcPr>
            <w:tcW w:w="6337"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48"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pPr>
            <w:r>
              <w:rPr>
                <w:b/>
              </w:rPr>
              <w:t>Perquisites</w:t>
            </w:r>
            <w:r>
              <w:rPr/>
              <w:br/>
            </w:r>
            <w:r>
              <w:rPr>
                <w:b/>
              </w:rPr>
              <w:t>($)</w:t>
            </w:r>
          </w:p>
        </w:tc>
        <w:tc>
          <w:tcPr>
            <w:tcW w:w="341"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b/>
              </w:rPr>
              <w:t>401(k) Plan</w:t>
            </w:r>
            <w:r>
              <w:rPr/>
              <w:br/>
            </w:r>
            <w:r>
              <w:rPr>
                <w:b/>
              </w:rPr>
              <w:t>Company</w:t>
            </w:r>
            <w:r>
              <w:rPr/>
              <w:br/>
            </w:r>
            <w:r>
              <w:rPr>
                <w:b/>
              </w:rPr>
              <w:t>Matching</w:t>
            </w:r>
            <w:r>
              <w:rPr/>
              <w:br/>
            </w:r>
            <w:r>
              <w:rPr>
                <w:b/>
              </w:rPr>
              <w:t>Contributions</w:t>
            </w:r>
            <w:r>
              <w:rPr/>
              <w:br/>
            </w:r>
            <w:r>
              <w:rPr>
                <w:b/>
              </w:rPr>
              <w:t>($)</w:t>
            </w:r>
          </w:p>
        </w:tc>
        <w:tc>
          <w:tcPr>
            <w:tcW w:w="63" w:type="dxa"/>
            <w:tcBorders/>
            <w:vAlign w:val="bottom"/>
          </w:tcPr>
          <w:p>
            <w:pPr>
              <w:pStyle w:val="TableContents"/>
              <w:bidi w:val="0"/>
              <w:spacing w:before="0" w:after="283"/>
              <w:jc w:val="left"/>
              <w:rPr/>
            </w:pPr>
            <w:r>
              <w:rPr/>
              <w:t> </w:t>
            </w:r>
          </w:p>
        </w:tc>
      </w:tr>
      <w:tr>
        <w:trPr/>
        <w:tc>
          <w:tcPr>
            <w:tcW w:w="63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4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74,866</w:t>
            </w:r>
          </w:p>
        </w:tc>
        <w:tc>
          <w:tcPr>
            <w:tcW w:w="341" w:type="dxa"/>
            <w:tcBorders/>
            <w:shd w:fill="CCEEFF" w:val="clear"/>
            <w:vAlign w:val="bottom"/>
          </w:tcPr>
          <w:p>
            <w:pPr>
              <w:pStyle w:val="TableContents"/>
              <w:bidi w:val="0"/>
              <w:spacing w:before="0" w:after="283"/>
              <w:jc w:val="left"/>
              <w:rPr/>
            </w:pPr>
            <w:r>
              <w:rPr/>
              <w:t>(a) </w:t>
            </w:r>
          </w:p>
        </w:tc>
        <w:tc>
          <w:tcPr>
            <w:tcW w:w="39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9,900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shown reflects personal travel on an aircraft, in which WDC owns a fractional interest, with the aggregate incremental cost incurred by WDC of $74,866. Pursuant to WDC policy, as WDCs then-CEO, Mr. Goeckeler was required to reimburse WDC for the amount of aggregate incremental cost in excess of $250,000 per fiscal year in connection with any personal use of such aircraft. Incremental cost for a personal flight is calculated based on the full amount of the direct variable operating cost charged to WDC for the applicable flight. Variable operating cost covers fees and costs related to, if applicable, aircraft use, fuel, flight fees, landing fees, cleaning, catering and taxes. Mr. Goeckeler is responsible for all personal income taxes associated with such personal usage.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2024 Grants of Plan-Based Awards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all grants of plan-based awards made to Mr. Goeckeler during fiscal 2024. </w:t>
      </w:r>
    </w:p>
    <w:p>
      <w:pPr>
        <w:pStyle w:val="TextBody"/>
        <w:bidi w:val="0"/>
        <w:spacing w:before="0" w:after="0"/>
        <w:jc w:val="left"/>
        <w:rPr/>
      </w:pPr>
      <w:r>
        <w:rPr/>
        <w:t> </w:t>
      </w:r>
    </w:p>
    <w:tbl>
      <w:tblPr>
        <w:tblW w:w="12334" w:type="dxa"/>
        <w:jc w:val="center"/>
        <w:tblInd w:w="0" w:type="dxa"/>
        <w:tblLayout w:type="fixed"/>
        <w:tblCellMar>
          <w:top w:w="0" w:type="dxa"/>
          <w:left w:w="0" w:type="dxa"/>
          <w:bottom w:w="0" w:type="dxa"/>
          <w:right w:w="0" w:type="dxa"/>
        </w:tblCellMar>
      </w:tblPr>
      <w:tblGrid>
        <w:gridCol w:w="770"/>
        <w:gridCol w:w="60"/>
        <w:gridCol w:w="1160"/>
        <w:gridCol w:w="60"/>
        <w:gridCol w:w="60"/>
        <w:gridCol w:w="740"/>
        <w:gridCol w:w="60"/>
        <w:gridCol w:w="60"/>
        <w:gridCol w:w="85"/>
        <w:gridCol w:w="985"/>
        <w:gridCol w:w="70"/>
        <w:gridCol w:w="70"/>
        <w:gridCol w:w="70"/>
        <w:gridCol w:w="1154"/>
        <w:gridCol w:w="70"/>
        <w:gridCol w:w="70"/>
        <w:gridCol w:w="70"/>
        <w:gridCol w:w="1160"/>
        <w:gridCol w:w="60"/>
        <w:gridCol w:w="60"/>
        <w:gridCol w:w="86"/>
        <w:gridCol w:w="984"/>
        <w:gridCol w:w="60"/>
        <w:gridCol w:w="60"/>
        <w:gridCol w:w="60"/>
        <w:gridCol w:w="680"/>
        <w:gridCol w:w="60"/>
        <w:gridCol w:w="60"/>
        <w:gridCol w:w="74"/>
        <w:gridCol w:w="996"/>
        <w:gridCol w:w="60"/>
        <w:gridCol w:w="60"/>
        <w:gridCol w:w="68"/>
        <w:gridCol w:w="912"/>
        <w:gridCol w:w="60"/>
        <w:gridCol w:w="60"/>
        <w:gridCol w:w="60"/>
        <w:gridCol w:w="980"/>
        <w:gridCol w:w="6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Estimated Possible Payouts Under</w:t>
              <w:br/>
              <w:t>Non-Equity Incentive Plan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0" w:type="dxa"/>
            <w:gridSpan w:val="10"/>
            <w:tcBorders>
              <w:bottom w:val="single" w:sz="8" w:space="0" w:color="000000"/>
            </w:tcBorders>
            <w:tcMar>
              <w:bottom w:w="28" w:type="dxa"/>
            </w:tcMar>
            <w:vAlign w:val="bottom"/>
          </w:tcPr>
          <w:p>
            <w:pPr>
              <w:pStyle w:val="TableContents"/>
              <w:bidi w:val="0"/>
              <w:spacing w:before="0" w:after="283"/>
              <w:jc w:val="center"/>
              <w:rPr/>
            </w:pPr>
            <w:r>
              <w:rPr>
                <w:b/>
              </w:rPr>
              <w:t>Estimated Future Payouts</w:t>
            </w:r>
            <w:r>
              <w:rPr/>
              <w:br/>
            </w:r>
            <w:r>
              <w:rPr>
                <w:b/>
              </w:rPr>
              <w:t>Under Equity Incentive Plan</w:t>
              <w:br/>
              <w:t>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Stock</w:t>
              <w:br/>
              <w:t>Awards:</w:t>
              <w:br/>
              <w:t>Number</w:t>
              <w:br/>
              <w:t>of Shares</w:t>
              <w:br/>
              <w:t>of Stock</w:t>
              <w:br/>
              <w:t>or Units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 Fair</w:t>
              <w:br/>
              <w:t>Value of</w:t>
              <w:br/>
              <w:t>Stock and</w:t>
              <w:br/>
              <w:t>Option</w:t>
              <w:br/>
              <w:t>Awards</w:t>
              <w:br/>
              <w:t>($)(1)</w:t>
            </w:r>
          </w:p>
        </w:tc>
        <w:tc>
          <w:tcPr>
            <w:tcW w:w="60" w:type="dxa"/>
            <w:tcBorders/>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1160" w:type="dxa"/>
            <w:tcBorders>
              <w:bottom w:val="single" w:sz="8" w:space="0" w:color="000000"/>
            </w:tcBorders>
            <w:tcMar>
              <w:bottom w:w="28" w:type="dxa"/>
            </w:tcMar>
            <w:vAlign w:val="bottom"/>
          </w:tcPr>
          <w:p>
            <w:pPr>
              <w:pStyle w:val="TableContents"/>
              <w:bidi w:val="0"/>
              <w:spacing w:before="0" w:after="283"/>
              <w:jc w:val="center"/>
              <w:rPr/>
            </w:pPr>
            <w:r>
              <w:rPr>
                <w:b/>
              </w:rPr>
              <w:t>Award</w:t>
            </w:r>
            <w:r>
              <w:rPr/>
              <w:br/>
            </w:r>
            <w:r>
              <w:rPr>
                <w:b/>
              </w:rPr>
              <w:t>Type</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Threshold</w:t>
              <w:br/>
              <w:t>($)</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Threshold</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7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David V. Goeckeler</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STI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54,688</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2,187,500</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5,468,750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jc w:val="left"/>
              <w:rPr/>
            </w:pPr>
            <w:r>
              <w:rPr/>
              <w:t>2023 - 2025</w:t>
            </w:r>
          </w:p>
          <w:p>
            <w:pPr>
              <w:pStyle w:val="TableContents"/>
              <w:bidi w:val="0"/>
              <w:spacing w:before="0" w:after="20"/>
              <w:jc w:val="left"/>
              <w:rPr>
                <w:rFonts w:ascii="Times New Roman" w:hAnsi="Times New Roman"/>
                <w:sz w:val="18"/>
              </w:rPr>
            </w:pPr>
            <w:r>
              <w:rPr>
                <w:rFonts w:ascii="Times New Roman" w:hAnsi="Times New Roman"/>
                <w:sz w:val="18"/>
              </w:rPr>
              <w:t>PSUs(2)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8/22/23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31,466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62,932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188,796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2,931,373</w:t>
            </w:r>
          </w:p>
        </w:tc>
        <w:tc>
          <w:tcPr>
            <w:tcW w:w="60" w:type="dxa"/>
            <w:tcBorders/>
            <w:vAlign w:val="bottom"/>
          </w:tcPr>
          <w:p>
            <w:pPr>
              <w:pStyle w:val="TableContents"/>
              <w:bidi w:val="0"/>
              <w:spacing w:before="0" w:after="283"/>
              <w:jc w:val="left"/>
              <w:rPr/>
            </w:pPr>
            <w:r>
              <w:rPr/>
              <w:t> </w:t>
            </w:r>
          </w:p>
        </w:tc>
      </w:tr>
      <w:tr>
        <w:trPr/>
        <w:tc>
          <w:tcPr>
            <w:tcW w:w="7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2024 - 2026</w:t>
              <w:br/>
              <w:t>PSUs(3)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8/25/23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37,985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75,969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167,132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3,102,574</w:t>
            </w:r>
          </w:p>
        </w:tc>
        <w:tc>
          <w:tcPr>
            <w:tcW w:w="60" w:type="dxa"/>
            <w:tcBorders/>
            <w:shd w:fill="CCEEFF" w:val="clear"/>
            <w:vAlign w:val="bottom"/>
          </w:tcPr>
          <w:p>
            <w:pPr>
              <w:pStyle w:val="TableContents"/>
              <w:bidi w:val="0"/>
              <w:spacing w:before="0" w:after="283"/>
              <w:jc w:val="left"/>
              <w:rPr/>
            </w:pPr>
            <w:r>
              <w:rPr/>
              <w:t> </w:t>
            </w:r>
          </w:p>
        </w:tc>
      </w:tr>
      <w:tr>
        <w:trPr/>
        <w:tc>
          <w:tcPr>
            <w:tcW w:w="7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RSUs(4)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8/25/23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151,937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5,999,992</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reflect the grant date fair value of the award computed in accordance with ASC 718. These amounts were calculated based on the assumptions described in Note 12 in the Notes to Consolidated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Financial Statements included in WDCs 2024 Annual Report on Form 10-K. The grant date fair value for the PSU awards, at the probable outcome, is based on the value of WDCs common stock on (i) August 22, 2023 for the 2024 performance period under the 2023-2025 PSUs using a Monte Carlo simulation, which resulted in a simulated award value of $46.58 per share, and (ii) August 25, 2023 for the 2024 performance period under the 2024-2026 PSUs using a Monte Carlo simulation, which resulted in a simulated award value of $40.84 per share based on certain assumptions.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2024 annual performance period portion of the PSU award granted to Mr. Goeckeler for the three-year performance period covering fiscal 2023 through 2025, subject to cliff vesting on August 20, 2025, based on WDCs achievement of specified revenue and non-GAAP EPS performance goals and absolute stock price CAGR that correspond to specific payout percentages ranging between 0% and 300% of the target number of stock units subject to the award. Under financial accounting rules, an award is not deemed granted and the grant date fair value for a PSU award is not determined until the fiscal year in which the performance metrics are established. The performance metrics are annually determined by the WDC Compensation and Talent Committee for each of fiscal years 2023, 2024 and 2025. Accordingly, the grant date fair value for the portion attributable to fiscal 2024 annual targets of such award is reflected.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2024 annual performance period portion of the LTI PSU award granted to Mr. Goeckeler for the three-year performance period covering fiscal 2024 through 2026, subject to cliff vesting on August 25, 2026, based on WDCs achievement of specified revenue and non-GAAP EPS performance goals and the relative TSR modifier that correspond to specific payout percentages ranging between 0% and 220% of the target number of stock units subject to the award. Under financial accounting rules, an award is not deemed granted and the grant date fair value for a PSU award is not determined until the fiscal year in which the performance metrics are established. The performance metrics are annually determined by the WDC Compensation and Talent Committee for each of fiscal years 2024, 2025 and 2026. Accordingly, only the grant date fair value for the portion attributable to fiscal 2024 annual targets is reflected.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annual LTI RSU award granted to Mr. Goeckeler, which is scheduled to vest with respect to 25% on the first anniversary of the grant date and 6.25% quarterly thereafter for three years.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Sandisk Compensation Arrangements for Named Executive Officer </w:t>
      </w:r>
    </w:p>
    <w:p>
      <w:pPr>
        <w:pStyle w:val="TextBody"/>
        <w:bidi w:val="0"/>
        <w:spacing w:before="120" w:after="0"/>
        <w:jc w:val="left"/>
        <w:rPr>
          <w:rFonts w:ascii="Times New Roman" w:hAnsi="Times New Roman"/>
          <w:b/>
          <w:sz w:val="20"/>
        </w:rPr>
      </w:pPr>
      <w:r>
        <w:rPr>
          <w:rFonts w:ascii="Times New Roman" w:hAnsi="Times New Roman"/>
          <w:b/>
          <w:sz w:val="20"/>
        </w:rPr>
        <w:t xml:space="preserve">Non-Equity Incentive Plan Compensation and Awards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the Sandisk Board of Directors adopted our Executive Short-Term Incentive Plan (the Sandisk STI Plan). Our named executive officer is eligible to receive cash incentive awards on an annual basis under the Sandisk STI Plan (as described below), which generally mirrors the WDC STI Plan, except as otherwise determined by the Sandisk Compensation and Talent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Sandisk Executive Short-Term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Sandisk STI Plan is to promote the success of Sandisk by (i) compensating and rewarding participating executives with incentive awards for the achievement of performance goals, (ii) motivating such executives by giving them opportunities to receive incentive awards directly related to performance, and (iii) retaining executives by offering them an opportunity to share in the Companys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Sandisk STI Plan is administered by the Sandisk Compensation and Talent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As the administrator, the Sandisk Compensation and Talent Committee has the sole discretion to determine the performance goals and criteria for each award under the Sandisk STI Plan. The Sandisk Compensation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Talent Committee establishes the formula to be used to determine any incentive award payable under the Sandisk STI Plan, and whether all or any portion of the amount so calculated will be paid, subject in all cases to the terms, conditions and limits of the plan. </w:t>
      </w:r>
    </w:p>
    <w:p>
      <w:pPr>
        <w:pStyle w:val="TextBody"/>
        <w:bidi w:val="0"/>
        <w:spacing w:before="240" w:after="0"/>
        <w:jc w:val="left"/>
        <w:rPr>
          <w:rFonts w:ascii="Times New Roman" w:hAnsi="Times New Roman"/>
          <w:sz w:val="20"/>
        </w:rPr>
      </w:pPr>
      <w:r>
        <w:rPr>
          <w:rFonts w:ascii="Times New Roman" w:hAnsi="Times New Roman"/>
          <w:sz w:val="20"/>
        </w:rPr>
        <w:t xml:space="preserve">Any incentive award earned and payable in accordance with the plan will be paid in cash (subject to tax withholding) as soon as reasonably practicable following the determination of such incentive award amount, but in no event later than (a) March 15 of the calendar year following the calendar year in which the applicable performance period ends, or (b) if later, the last day of the period ending on the 15th day of the third month following the end of the Companys fiscal year in which the applicable performance period 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Sandisk Compensation and Talent Committee has sole discretion to adjust the performance measures, performance goals, relative weights of the measures and other provisions of then-outstanding awards under the Sandisk STI Plan to reflect items related to, among other things, a change in accounting principle, acquisitions, disposal of a business, discontinued operations and other events or changes in applicable law or business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Sandisk Compensation and Talent Committee has discretion to settle or terminate, as the Sandisk Compensation and Talent Committee may determine in its sole discretion and (in the case of a settlement) in such amount (if any) as the Sandisk Compensation and Talent Committee may determine to be appropriate in its sole discretion, any award granted under the Sandisk STI Plan in connection with any merger, reorganization or other corporation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Provisions </w:t>
      </w:r>
    </w:p>
    <w:p>
      <w:pPr>
        <w:pStyle w:val="TextBody"/>
        <w:bidi w:val="0"/>
        <w:spacing w:before="120" w:after="0"/>
        <w:jc w:val="left"/>
        <w:rPr>
          <w:rFonts w:ascii="Times New Roman" w:hAnsi="Times New Roman"/>
          <w:sz w:val="20"/>
        </w:rPr>
      </w:pPr>
      <w:r>
        <w:rPr>
          <w:rFonts w:ascii="Times New Roman" w:hAnsi="Times New Roman"/>
          <w:sz w:val="20"/>
        </w:rPr>
        <w:t xml:space="preserve">All awards and any incentive award paid under the Sandisk STI Plan are subject to the provisions of any clawback or similar policy implemented by the Company from time to time, including, without limitation, any clawback or similar policy adopted to comply with the requirements of applicable law, such as the Dodd-Frank Wall Street Reform and Consumer Protection Act and any rules or regulations promulgated thereunder, to the extent set forth in such clawback. </w:t>
      </w:r>
    </w:p>
    <w:p>
      <w:pPr>
        <w:pStyle w:val="TextBody"/>
        <w:bidi w:val="0"/>
        <w:spacing w:before="360" w:after="0"/>
        <w:jc w:val="left"/>
        <w:rPr>
          <w:rFonts w:ascii="Times New Roman" w:hAnsi="Times New Roman"/>
          <w:b/>
          <w:sz w:val="20"/>
        </w:rPr>
      </w:pPr>
      <w:r>
        <w:rPr>
          <w:rFonts w:ascii="Times New Roman" w:hAnsi="Times New Roman"/>
          <w:b/>
          <w:sz w:val="20"/>
        </w:rPr>
        <w:t xml:space="preserve">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RSU and PSU award reported in the Fiscal 2024 Grants of Plan-Based Awards Table was granted by the WDC Compensation and Talent Committee under, was subject to, the terms of the WDC 2021 Long-Term Incentive Plan, and in connection with the separation, assumed by the Sandisk 2025 Long-Term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 is not entitled to voting rights with respect to their Sandisk stock units (PSUs and RSUs). However, if Sandisk pays an ordinary cash dividend on Sandisks outstanding shares of common stock, the named executive officer will have the right to receive a dividend equivalent with respect to any unpaid stock unit (whether vested or not) held as of the record date for the dividend payment, which will not be payable until the award vests.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vesting acceleration provisions applicable to equity awards granted to Mr. Goeckeler under the WDC CIC Severance Plan and the WDC Executive Severance Plan is included in the section entitled Potential Payments upon Termination or Change in Control below. The Sandisk CIC Severance Plan and the Sandisk Executive Severance Plan, each as defined below and adopted by Sandisk in connection with the separation, generally mirror WDCs change in control severance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LTI awards held by our employees, including Mr. Goeckeler and our Chief Financial Officer, that are converted into Sandisk LTI awards were assumed under the 2025 LTIP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Sandisk 2025 Long-Term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our Board adopted, and WDC as our then-sole stockholder approved, our 2025 Long-Term Incentive Plan (the 2025 LTIP), which became effective upon the consummation of the spin-off. The following summary is qualified in its entirety by the full text of the 2025 LTIP, which is included as Exhibit 10.24 to the registration statement on Form S-1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2025 LTIP, through the granting of awards, is intended to help Sandisk secure and retain the services of eligible award recipients, provide incentives for such persons to exert maximum efforts for the success of our company and any affiliate and provide a means by which the eligible award recipients may benefit from increases in the value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authority to administer the 2025 LTIP, including the powers to: (i) determine who will be granted awards and what type of award, when and how each award will be granted, the provisions of each award (which need not be identical), the number of shares or cash value subject to an award and the fair market value applicable to an award; (ii) construe and interpret the 2025 LTIP and awards granted thereunder and establish, amend and revoke rules and regulations for administration of the 2025 LTIP and awards, including the ability to correct any defect, omission or inconsistency in the 2025 LTIP or any award document; (iii) settle all controversies regarding the 2025 LTIP and awards granted thereunder; (iv) accelerate or extend, in whole or in part, the time during which an award may be exercised or vested or at which cash or shares may be issued; (v) amend or terminate the 2025 LTIP; (vi) submit any amendment to the 2025 LTIP for stockholder approval; (vii) approve forms of award documents for use under the 2025 LTIP and amend the terms of any one or more outstanding awards; (viii) generally exercise such powers and perform such acts as our Board may deem necessary or expedient to promote the best interests of our company and that are not in conflict with the provisions of the 2025 LTIP or any award documents; and (ix) adopt procedures and sub-plans as are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2025 LTIP, our Board may delegate all or some of the administration of the 2025 LTIP to a committee of one or more directors and may delegate to one or more officers the authority to designate employees who are not officers to be recipients of options and stock appreciation rights (and, to the extent permitted by applicable law, other stock awards) and, to the extent permitted by applicable law, to determine the terms of such awards and the number of shares of common stock to be subject to such stock awards granted to such employees. Unless otherwise provided by our Board, delegation of authority by our Board to a committee or an officer will not limit the authority of our Board. All determinations, interpretations and constructions made by our Board (or another authorized committee or officer exercising powers delegated by our Board) in good faith will be final, binding and conclusive on all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Repricing </w:t>
      </w:r>
    </w:p>
    <w:p>
      <w:pPr>
        <w:pStyle w:val="TextBody"/>
        <w:bidi w:val="0"/>
        <w:spacing w:before="120" w:after="0"/>
        <w:jc w:val="left"/>
        <w:rPr>
          <w:rFonts w:ascii="Times New Roman" w:hAnsi="Times New Roman"/>
          <w:sz w:val="20"/>
        </w:rPr>
      </w:pPr>
      <w:r>
        <w:rPr>
          <w:rFonts w:ascii="Times New Roman" w:hAnsi="Times New Roman"/>
          <w:sz w:val="20"/>
        </w:rPr>
        <w:t xml:space="preserve">Neither an option nor a stock appreciation right may be modified to reduce the exercise price thereof nor may a new option, stock appreciation right or other award at a lower price be substituted or exchanged for a surrendered option or stock appreciation right (other than certain capitalization adjustments or substitutions in accordance with the 2025 LTIP), unless such action is approved by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Persons eligible to receive awards under the 2025 LTIP include officers and employees of our company or any of our subsidiaries, members of our Board and certain consultants and advisors.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Aggregate Share Limit </w:t>
      </w:r>
    </w:p>
    <w:p>
      <w:pPr>
        <w:pStyle w:val="TextBody"/>
        <w:bidi w:val="0"/>
        <w:spacing w:before="120" w:after="0"/>
        <w:jc w:val="left"/>
        <w:rPr>
          <w:rFonts w:ascii="Times New Roman" w:hAnsi="Times New Roman"/>
          <w:sz w:val="20"/>
        </w:rPr>
      </w:pPr>
      <w:r>
        <w:rPr>
          <w:rFonts w:ascii="Times New Roman" w:hAnsi="Times New Roman"/>
          <w:sz w:val="20"/>
        </w:rPr>
        <w:t xml:space="preserve">The maximum number of shares of our common stock that may be issued or transferred pursuant to awards under the 2025 LTIP is 17,383,590 (the Share Reserve), which does not include the additional number of shares that reflect the converted WDC equity awards, subject to adjustment as set forth in the 2025 LTIP.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Share Limits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other limits are also contained in the 2025 LTIP. These limits are in addition to, and not in lieu of, the share limit for the 2025 LTIP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that may be delivered pursuant to options qualified as incentive stock options granted under the 2025 LTIP is equal to 5 million shares annually and no individual may receive more than 1 million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shares subject to awards granted under the 2025 LTIP, together with any cash compensation awarded to any one non-employee director in any one grant year may not exceed $900,000.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limit would not apply as to any award granted to an individual for services in a capacity other than as a non-employee director, even if such individual is, was or becomes a non-employee director.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 award granted under the 2025 LTIP is settled in cash or a form other than shares, the shares that would have been delivered had there been no such cash or other settlement will not be counted against the shares available for issuance under the 2025 LTIP. In the event that shares are delivered in respect of a dividend equivalent right granted under the 2025 LTIP, only the actual number of shares delivered with respect to the award shall be counted against the share limits of the 2025 LTIP. To the extent that shares are delivered pursuant to the exercise of a stock appreciation right or stock option, the number of underlying shares as to which the exercise relates shall be counted against the applicable share limits, as opposed to only counting the shares actually issued. Shares that are subject to or underlying awards granted under the 2025 LTIP that are not paid or delivered (whether due to expiration, cancellation, termination, forfeiture, failure to vest or any other reason) will again be available for subsequent awards under the 2025 LTIP. In addition, the 2025 LTIP generally provides that shares issued in connection with awards that are granted by or become obligations of our company through the assumption of awards (or in substitution for awards) in connection with an acquisition of another company will not count against the shares available for issuance under the 2025 LTIP. </w:t>
      </w:r>
    </w:p>
    <w:p>
      <w:pPr>
        <w:pStyle w:val="TextBody"/>
        <w:bidi w:val="0"/>
        <w:spacing w:before="240" w:after="0"/>
        <w:jc w:val="left"/>
        <w:rPr>
          <w:rFonts w:ascii="Times New Roman" w:hAnsi="Times New Roman"/>
          <w:sz w:val="20"/>
        </w:rPr>
      </w:pPr>
      <w:r>
        <w:rPr>
          <w:rFonts w:ascii="Times New Roman" w:hAnsi="Times New Roman"/>
          <w:sz w:val="20"/>
        </w:rPr>
        <w:t xml:space="preserve">Shares that are reacquired or withheld by us as full or partial payment in connection with a full-value award under the 2025 LTIP, as well as shares reacquired or withheld by us to satisfy the tax withholding obligations related to a full-value award under the 2025 LTIP, will not count against the share limit of and will be available for new award grants under the 2025 LTIP. Shares that are reacquired or withheld by us in connection with the exercise of stock options, the settlement of stock appreciation rights or the payment of required withholding taxes on stock options or stock appreciation rights are not, however, available for new award grants.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2025 LTIP authorizes stock options, stock appreciation rights, restricted stock, restricted stock units, performance stock awards, cash awards and other stock-based awards. The 2025 LTIP retains flexibility to offer competitive incentives and to tailor benefits to specific needs and circumstances. Any award may be paid or settled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Minimum Vesting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Except pursuant to any required accelerated vesting in connection with a change in control event or in connection with retirement, death or disability, or as described below, the 2025 LTIP provides that each award granted under the 2025 LTIP will be subject to a minimum vesting period of one year. Awards may, however, be granted under the 2025 LTIP with minimum vesting requirements of less than one year, or no vesting requirements, provided that the total number of shares of our common stock subject to such awards will not exceed 5% of the aggregate share limit. This minimum vesting requirement under the 2025 LTIP does not limit or restrict the administrators discretion to accelerate or provide for the acceleration of vesting of any award in any circumstances it determines to be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Deferrals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provide for the deferred payment of awards, and may determine the other terms applicable to deferrals. The administrator may provide that deferred settlements include the payment or crediting of interest or other earnings on the deferred amounts, or the payment or crediting of dividend equivalents where the deferred amounts are denominated in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provided otherwise in an award agreement or other agreement between a participant and Sandisk or a subsidiary or expressly provided by our Board at the time of grant, then in the event of a change in control, our Board will take one or more of the following actions with respect to each outstanding award, contingent upon the closing or completion of the change in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surviving corporation or acquiring corporation (or the surviving or acquiring corporations parent company) to assume or continue the award or to substitute a similar stock award for the award (including, but not limited to, an award to acquire the same consideration per share paid to our stockholders pursuant to the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our company in respect of common stock issued pursuant to the award to the surviving corporation or acquiring corporation (or the surviving or acquiring corporations parent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in whole or in part, of the award (and, if applicable, the time at which the award may be exercised) to a date prior to the effective time of such change in control as determined by our Board, with such award terminating if not exercised (if applicable) at or prior to the effective time of the change in control, and with such accelerated vesting (and if applicable, such exercise) reversed if the change in control does not become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lapse, in whole or in part, of any reacquisition or repurchase rights held by our company with respect to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the award, to the extent not vested or not exercised prior to the effective time of the change in control, in exchange for such cash consideration, if any, as our Board, in its reasonable determination, may consider appropriate as an approximation of the value of the canceled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the award, to the extent not vested or not exercised prior to the effective time of the change in control, in exchange for a payment equal to the excess, if any, of (A) the value in the change in control of the property the participant would have received upon the exercise of the award immediately prior to the effective time of the change in control, over (B) any exercise price payable by such holder in connection with such exercise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need not take the same action or actions with respect to all awards or portions thereof or with respect to all participants and may take different actions with respect to the vested and unvested portions of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absence of any affirmative determination by our Board at the time of a change in control, each outstanding award will be assumed or an equivalent award will be substituted by such applicable successor corporation, unless the successor corporation does not agree to assume the award or to substitute an equivalent award, in which case the vesting of such award will accelerate in its entirety (along with, if applicable, the time at which the award may be exercised) to a date prior to the effective time of such change in control as our Board will determine (or, if our Board does not determine such a date, to the date that is five days prior to the effective date of the change in control), with such award terminating if not exercised (if applicable) at or prior to the effective time of the change in control, and with such exercise reversed if the change in control does not become effective. However, the holder of a stock option or stock appreciation right will be given reasonable advance notice of the impending termination and a reasonable opportunity to exercise his or her outstanding vested stock options and stock appreciation rights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contained in the 2025 LTIP, awards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In addition, the 2025 LTIP provides that an award of restricted stock may not be transferred to any financial institution without prior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w:t>
      </w:r>
    </w:p>
    <w:p>
      <w:pPr>
        <w:pStyle w:val="TextBody"/>
        <w:bidi w:val="0"/>
        <w:spacing w:before="120" w:after="0"/>
        <w:jc w:val="left"/>
        <w:rPr>
          <w:rFonts w:ascii="Times New Roman" w:hAnsi="Times New Roman"/>
          <w:sz w:val="20"/>
        </w:rPr>
      </w:pPr>
      <w:r>
        <w:rPr>
          <w:rFonts w:ascii="Times New Roman" w:hAnsi="Times New Roman"/>
          <w:sz w:val="20"/>
        </w:rPr>
        <w:t xml:space="preserve">Each share limit and the number and kind of shares available under the 2025 LTIP and any outstanding awards, as well as the exercise or purchase prices of awards, are subject to adjustment in the event of certain corporate events. These events include reclassifications, recapitalizations, stock splits (including a stock split in the form of a stock dividend) or reverse stock splits, mergers, combinations, consolidations, other reorganization, spin-off, split-up, similar extraordinary dividend distribution in respect of our common stock, exchange of common stock or other securities of our company, or other similar, unusual or extraordinary corporate events in respect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or Changes to the 2025 LTIP </w:t>
      </w:r>
    </w:p>
    <w:p>
      <w:pPr>
        <w:pStyle w:val="TextBody"/>
        <w:bidi w:val="0"/>
        <w:spacing w:before="120" w:after="0"/>
        <w:jc w:val="left"/>
        <w:rPr>
          <w:rFonts w:ascii="Times New Roman" w:hAnsi="Times New Roman"/>
          <w:sz w:val="20"/>
        </w:rPr>
      </w:pPr>
      <w:r>
        <w:rPr>
          <w:rFonts w:ascii="Times New Roman" w:hAnsi="Times New Roman"/>
          <w:sz w:val="20"/>
        </w:rPr>
        <w:t xml:space="preserve">Our Board may amend or terminate the 2025 LTIP at any time and in any manner. Stockholder approval for an amendment will be required only to the extent then required by applicable law or deemed necessary or advisable by our Board. No awards will be granted after the tenth anniversary of the 2025 LTIPs initial effective date. Outstanding awards, as well as the administrators authority with respect thereto, generally will continue following the expiration or termination of the 2025 LTIP.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Specific Benefits under the 2025 LTIP </w:t>
      </w:r>
    </w:p>
    <w:p>
      <w:pPr>
        <w:pStyle w:val="TextBody"/>
        <w:bidi w:val="0"/>
        <w:spacing w:before="120" w:after="0"/>
        <w:jc w:val="left"/>
        <w:rPr>
          <w:rFonts w:ascii="Times New Roman" w:hAnsi="Times New Roman"/>
          <w:sz w:val="20"/>
        </w:rPr>
      </w:pPr>
      <w:r>
        <w:rPr>
          <w:rFonts w:ascii="Times New Roman" w:hAnsi="Times New Roman"/>
          <w:sz w:val="20"/>
        </w:rPr>
        <w:t xml:space="preserve">We have not approved any awards under the 2025 LTIP, other than the assumed awards as described above. The number and type of awards that we may grant in the future under the 2025 LTIP is not determinable. </w:t>
      </w:r>
    </w:p>
    <w:p>
      <w:pPr>
        <w:pStyle w:val="TextBody"/>
        <w:bidi w:val="0"/>
        <w:spacing w:before="240" w:after="0"/>
        <w:jc w:val="left"/>
        <w:rPr>
          <w:rFonts w:ascii="Times New Roman" w:hAnsi="Times New Roman"/>
          <w:sz w:val="20"/>
        </w:rPr>
      </w:pPr>
      <w:r>
        <w:rPr>
          <w:rFonts w:ascii="Times New Roman" w:hAnsi="Times New Roman"/>
          <w:sz w:val="20"/>
        </w:rPr>
        <w:t xml:space="preserve">We will grant RSUs under the 2025 LTIP to each of our non-employee directors immediately following the first Annual Meeting. These annual grants will be made under our Non-Employee Director Restricted Stock Unit Grant Program (as further described below in the section titled Non-Employee Director Equity Awards) and determined based on the closing price of our common stock on the Nasdaq Stock Market on the grant date. The actual number of shares that we may issue to our non-employee directors under our Non-Employee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Restricted Stock Unit Grant Program depends on, among other future variables, the number of our non-employee directors from time to time, when a non-employee director serves as Chair of the Board or Lead Independent Director, the price of our common stock on the applicable grant date that is used to convert the applicable grant-date value into a number of shares, and whether our Board changes the applicable grant date values or other aspects of our non-employee director compensation program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Sandisk 2025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our Board adopted, and WDC as our then-sole stockholder approved, our 2025 Employee Stock Purchase Plan (the 2025 ESPP), which became effective upon the consummation of the spin-off. The following summary is qualified in its entirety by the full text of the 2025 ESPP, which is included as Exhibit 10.34 to the registration statement on Form S-1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2025 ESPP is to provide an incentive for present and future eligible employees of our company and our participating subsidiaries to acquire a proprietary interest (or increase an existing proprietary interest) in our company through the purchase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Operation of the 2025 ESPP </w:t>
      </w:r>
    </w:p>
    <w:p>
      <w:pPr>
        <w:pStyle w:val="TextBody"/>
        <w:bidi w:val="0"/>
        <w:spacing w:before="120" w:after="0"/>
        <w:jc w:val="left"/>
        <w:rPr>
          <w:rFonts w:ascii="Times New Roman" w:hAnsi="Times New Roman"/>
          <w:sz w:val="20"/>
        </w:rPr>
      </w:pPr>
      <w:r>
        <w:rPr>
          <w:rFonts w:ascii="Times New Roman" w:hAnsi="Times New Roman"/>
          <w:sz w:val="20"/>
        </w:rPr>
        <w:t xml:space="preserve">The 2025 ESPP operates in a series of periods referred to as Offering Periods. We will establish the duration of each Offering Period in advance of that Offering Period. However, an Offering Period may not be longer than 24 months. We may provide for a new Offering Period to start before an Offering Period in progress has ended, but no one participant may participate in more than one Offering Period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On the first day of each Offering Period (referred to as the Enrollment Date), each eligible employee who has timely filed a valid election to participate in the 2025 ESPP for that Offering Period is granted an option to purchase shares of our common stock. Participants may designate in their election the percentage of their compensation to be withheld from their pay during that Offering Period for the purchase of stock under the 2025 ESPP. Participants contributions under the 2025 ESPP are credited to a bookkeeping account in their name. Participants generally may elect to terminate their contributions to the 2025 ESPP at any time during an Offering Period. Participants also generally may elect to increase or decrease the rate of their contributions to the 2025 ESPP up to four times in a calendar year. Amounts contributed to the 2025 ESPP constitute general corporate assets of our company and may be used for any corporate purpose. </w:t>
      </w:r>
    </w:p>
    <w:p>
      <w:pPr>
        <w:pStyle w:val="TextBody"/>
        <w:bidi w:val="0"/>
        <w:spacing w:before="240" w:after="0"/>
        <w:jc w:val="left"/>
        <w:rPr>
          <w:rFonts w:ascii="Times New Roman" w:hAnsi="Times New Roman"/>
          <w:sz w:val="20"/>
        </w:rPr>
      </w:pPr>
      <w:r>
        <w:rPr>
          <w:rFonts w:ascii="Times New Roman" w:hAnsi="Times New Roman"/>
          <w:sz w:val="20"/>
        </w:rPr>
        <w:t xml:space="preserve">An Offering Period may consist of one or more periods referred to as Exercise Periods. The last day of each Exercise Period is referred to as an Exercise Date. Each option granted under the 2025 ESPP for an Offering Period is automatically exercised on each Exercise Date that occurs within that Offering Period. The number of shares acquired by participants upon exercise of their option is determined by dividing the participants account balance under the 2025 ESPP as of the Exercise Date by the Exercise Price for that Offering Period. We establish the methodology for setting the Exercise Price in an Offering Period in advance of that Offering Period. The administrator of the 2025 ESPP may set the Exercise Price at any price, except that in no event may the Exercise Price be lower than the lesser of (i) 85% of the fair market value of a share of our common stock on the applicable Enrollment Date, or (ii) 85% of the fair market value of a share of our common stock on the applicable Exercise Date. Participant accounts are reduced upon exercise of their options by the amount used to pay the Exercise Price of the shares acquired by the participant. No interest is paid to any participant or credited to any account under the 2025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Only certain employees are eligible to participate in the 2025 ESPP. To be eligible to participate in an Offering Period, on the Enrollment Date of that period an individual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employed by our company or one of our subsidiaries that has been designated as a participating subsidiary;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customarily employed for more than twenty hours per week and more than five months in a calendar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employee who is a citizen or resident of a foreign jurisdiction to whom the grant of an option under the 2025 ESPP would be prohibited under the laws of such foreign jurisdiction, or compliance with the laws of such foreign jurisdiction would cause the 2025 ESPP to violate the requirements of Section 423 of the Internal Revenue Code, would not be eligible to participate in the 2025 ESPP. Section 16 officers are also not eligible to participate in the 2025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Limits on Authorized Shares; Limits on Contributions </w:t>
      </w:r>
    </w:p>
    <w:p>
      <w:pPr>
        <w:pStyle w:val="TextBody"/>
        <w:bidi w:val="0"/>
        <w:spacing w:before="120" w:after="0"/>
        <w:jc w:val="left"/>
        <w:rPr>
          <w:rFonts w:ascii="Times New Roman" w:hAnsi="Times New Roman"/>
          <w:sz w:val="20"/>
        </w:rPr>
      </w:pPr>
      <w:r>
        <w:rPr>
          <w:rFonts w:ascii="Times New Roman" w:hAnsi="Times New Roman"/>
          <w:sz w:val="20"/>
        </w:rPr>
        <w:t xml:space="preserve">A total of 4,345,891 shares are available for issuance under the 2025 ESPP. </w:t>
      </w:r>
    </w:p>
    <w:p>
      <w:pPr>
        <w:pStyle w:val="TextBody"/>
        <w:bidi w:val="0"/>
        <w:spacing w:before="240" w:after="0"/>
        <w:jc w:val="left"/>
        <w:rPr>
          <w:rFonts w:ascii="Times New Roman" w:hAnsi="Times New Roman"/>
          <w:sz w:val="20"/>
        </w:rPr>
      </w:pPr>
      <w:r>
        <w:rPr>
          <w:rFonts w:ascii="Times New Roman" w:hAnsi="Times New Roman"/>
          <w:sz w:val="20"/>
        </w:rPr>
        <w:t xml:space="preserve">Participation in the 2025 ESPP is also subject to the following limits: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cannot contribute more than 10% of their compensation to the purchase of stock under the 2025 ESPP in any one payroll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cannot be granted an option under the 2025 ESPP for an offering period with respect to a number of shares of our common stock that exceeds five times the number of shares determined by dividing (i) $40,000 by (ii) the fair market value of a share of our common stock on the Enrollment Date multiplied by 85% (or the applicable percentage used to calculate the Exercise Price for that offering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cannot purchase more than $25,000 of stock (valued at the start of the applicable Offering Period and without giving effect to any discount reflected in the purchase price for the stock) under the 2025 ESPP for each calendar year in which such option is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Participants will not be granted an option under the 2025 ESPP if it would cause the participant to own stock and/or hold outstanding options to purchase stock representing 5% or more of the total combined voting power or value of all classes of stock of our company or one of our subsidiaries or to the extent it would exceed certain other limits under the Internal Revenue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company has the flexibility to change the 10% contribution limit referred to above and the maximum limit on the number of shares that may be acquired by any individual during an Offering Period or Exercise Period under the 2025 ESPP referred to above from time to time without stockholder approval. However, we cannot increase the aggregate number of shares available for delivery under the 2025 ESPP without stockholder approval, other than to reflect stock splits and similar adjustments as described below. The $25,000 and the 5% ownership limitations referred to above are required under the Internal Revenue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number and kind of shares available under the 2025 ESPP, as well as purchase prices and share limits under the 2025 ESPP, are subject to adjustment in the case of certain corporate events. These events include reclassifications, recapitalizations, stock splits (including a stock split in the form of a stock dividend) or reverse stock split, mergers, combinations, consolidations, other reorganization, spin-off, split-up, similar extraordinary dividend distribution in respect of our common stock, exchange of common stock or other securities of our company, or other similar, unusual or extraordinary corporate events in respect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of Participation </w:t>
      </w:r>
    </w:p>
    <w:p>
      <w:pPr>
        <w:pStyle w:val="TextBody"/>
        <w:bidi w:val="0"/>
        <w:spacing w:before="120" w:after="0"/>
        <w:jc w:val="left"/>
        <w:rPr>
          <w:rFonts w:ascii="Times New Roman" w:hAnsi="Times New Roman"/>
          <w:sz w:val="20"/>
        </w:rPr>
      </w:pPr>
      <w:r>
        <w:rPr>
          <w:rFonts w:ascii="Times New Roman" w:hAnsi="Times New Roman"/>
          <w:sz w:val="20"/>
        </w:rPr>
        <w:t xml:space="preserve">A participants election to participate in the 2025 ESPP will generally continue in effect for all Offering Periods until the participant files a new election that takes effect or the participant ceases to participate in the 2025 ESPP. A participants participation in the 2025 ESPP generally will terminate if, prior to the applicable Exercise Date, the participant ceases to be employed by our company or one of our participating subsidiaries or the participant is no longer scheduled to work more than twenty hours per week or more than five months in a calendar year. If a participants participation in the 2025 ESPP terminates during an Offering Period for any of the reasons discussed in the preceding paragraph, he or she will no longer be permitted to make contributions to the 2025 ESPP for that Offering Period and, subject to limited exceptions, his or her option for that Offering Period will automatically terminate and his or her account balance will be paid to him or her in cash without interest. However, a participants termination from participation will not have any effect upon his or her ability to participate in any succeeding Offering Period, provided that the applicable eligibility and participation requirements are again then met.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Participants rights with respect to options or the purchase of shares under the 2025 ESPP, as well as contributions credited to their accounts, may not be transferred, assigned, pledged or otherwise disposed of in any way except by will or the laws of descent and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2025 ESPP is administered by our Board or by a committee appointed by our Board. Our Board has appointed the Sandisk Compensation and Talent Committee as the administrator of the 2025 ESPP. The administrator has full power and discretion to adopt, amend or rescind any rules and regulations for carrying out the 2025 ESPP, to determine which (if any) of our companys subsidiaries may be participating subsidiaries whose employees may participate in the 2025 ESPP, and to construe and interpret the 2025 ESPP. The administrator also may adopt rules, procedures or sub-plans applicable to particular subsidiaries or locations (for example and without limitation, as to participants employed in a particular jurisdiction outside of the U.S. who are subject to other applicable laws and regulations), which sub-plans may be designed to be outside of the scope of Section 423 of the Internal Revenue Code and need not comply with the otherwise applicable provisions of the 2025 ESPP. Decisions of the administrator with respect to the 2025 ESPP are final and binding on all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Limit on Other Plans </w:t>
      </w:r>
    </w:p>
    <w:p>
      <w:pPr>
        <w:pStyle w:val="TextBody"/>
        <w:bidi w:val="0"/>
        <w:spacing w:before="120" w:after="0"/>
        <w:jc w:val="left"/>
        <w:rPr>
          <w:rFonts w:ascii="Times New Roman" w:hAnsi="Times New Roman"/>
          <w:sz w:val="20"/>
        </w:rPr>
      </w:pPr>
      <w:r>
        <w:rPr>
          <w:rFonts w:ascii="Times New Roman" w:hAnsi="Times New Roman"/>
          <w:sz w:val="20"/>
        </w:rPr>
        <w:t xml:space="preserve">The 2025 ESPP does not limit the ability of our Board or any committee of our Board to grant awards or authorize any other compensation, with or without reference to our common stock, under any other plan or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Amendments </w:t>
      </w:r>
    </w:p>
    <w:p>
      <w:pPr>
        <w:pStyle w:val="TextBody"/>
        <w:bidi w:val="0"/>
        <w:spacing w:before="120" w:after="0"/>
        <w:jc w:val="left"/>
        <w:rPr>
          <w:rFonts w:ascii="Times New Roman" w:hAnsi="Times New Roman"/>
          <w:sz w:val="20"/>
        </w:rPr>
      </w:pPr>
      <w:r>
        <w:rPr>
          <w:rFonts w:ascii="Times New Roman" w:hAnsi="Times New Roman"/>
          <w:sz w:val="20"/>
        </w:rPr>
        <w:t xml:space="preserve">Our Board generally may amend or suspend the 2025 ESPP at any time and in any manner. No amendment, suspension or termination of the 2025 ESPP may have a material adverse effect on the then-existing rights of any participant during an Exercise Period without the participants written consent, but our Board may amend, suspend or terminate the 2025 ESPP as to any outstanding options granted under the 2025 ESPP for an Offering Period, effective as of any Exercise Date within that Offering Period, without the consent of the participants to whom such options were granted. Stockholder approval for an amendment to the 2025 ESPP will only be required to the extent required by law or applicable stock exchange rules, or as necessary to meet the requirements of Section 423 of the Internal Revenue Code in order to preserve the intended tax consequences of the 2025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may terminate the 2025 ESPP at any time. The 2025 ESPP will also terminate earlier if all of the shares authorized under the 2025 ESPP have been purchased.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Specific Benefits under the 2025 ESPP </w:t>
      </w:r>
    </w:p>
    <w:p>
      <w:pPr>
        <w:pStyle w:val="TextBody"/>
        <w:bidi w:val="0"/>
        <w:spacing w:before="120" w:after="0"/>
        <w:jc w:val="left"/>
        <w:rPr>
          <w:rFonts w:ascii="Times New Roman" w:hAnsi="Times New Roman"/>
          <w:sz w:val="20"/>
        </w:rPr>
      </w:pPr>
      <w:r>
        <w:rPr>
          <w:rFonts w:ascii="Times New Roman" w:hAnsi="Times New Roman"/>
          <w:sz w:val="20"/>
        </w:rPr>
        <w:t xml:space="preserve">The benefits that will be received by or allocated to eligible employees under the 2025 ESPP cannot be determined at this time because whether an eligible employee will participate, and the amount of contributions set aside to purchase shares of our common stock under the 2025 ESPP (subject to the limitations discussed above) as to an eligible employee who elects to participate in the 2025 ESPP, is entirely within the discretion of each individual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Sandisk Deferred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 is eligible to participate in our deferred compensation plan, which generally mirrors the WDC Deferred Compensation Plan. Our executive officers and certain other key employees who are subject to U.S. federal income taxes are eligible to participate in our deferred compensation plan. Participants are able to elect to defer certain compensation without regard to the tax code limitations applicable to tax-qualified plans. Under the plan, each participant may elect to defer up to 80% of his or her eligible compensation that may be earned during the following year. Amounts may be deferred until a specified date, disability or death. Emergency hardship withdrawals will also be permitted under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Sandisk Executive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 is eligible to participate in our executive severance plan (the Sandisk Executive Severance Plan), which generally mirrors WDCs executive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The Sandisk Executive Severance Plan is administered by the Sandisk Compensation and Talent Committee. Each NEO has been designated by the Sandisk Compensation and Talent Committee as a Tier 1 Executive under the Sandisk Executive Severance Plan. An executive who participates in the Sandisk Executive Severance Plan will receive the following severance benefits in the event the Company terminates the executives employment without cause (other than in anticipation of, or within 12 months following, a change in control that would entitle the executive to greater benefits under the Sandisk CIC Severance Plan (as defined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executives monthly base salary multiplied by 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for any incentive that was earned through a prior incentive cycle but has not yet been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a pro-rata portion of the executives incentive opportunity for the incentive cycle in which the executives date of termination occurs (determined based on the number of days in the applicable incentive cycle during which the executive was employed and assuming 100% of the performance goals are achieved regardless of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RSUs, accelerated vesting of a prorated number of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PSUs, a pro-rata portion of the target number of PSUs subject to the award will remain outstanding and eligible to vest, if at all, based on actual achievement of the performance goals over the performance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outplacement services provided by a vendor chosen by the Company and at the Companys expense for 12 months following the executives termination of employment;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applicable COBRA premium rate for Company-provided medical, dental and/or vision coverage existing as of the executives termination date multiplied by 18 months, payable in a lump sum cash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Payment of severance benefits under the Sandisk Executive Severance Plan is conditioned upon the executives execution of a valid and effective release of claims. In addition, no executive is entitled to a duplication of benefits under the Sandisk Executive Severance Plan and any other severance plan, including the Sandisk CIC Severance Plan (as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Sandisk Change in Control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 is eligible to participate in the Sandisk CIC Severance Plan, which generally mirrors WDCs change in control severance plan, unless otherwise determined by the Sandisk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Sandisk CIC Severance Plan provides the following benefits upon a termination of employment by the Company or by the executive for good reason, in either case, within 12 months following a change in control or within 6 months prior to a change in control (such 18-month period, the change in control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two times the sum of (A) the participants annual base compensation plus (B) the target incentive opportunity under the incentive program under which the participant participates for the incentive cycle in which the date of termination occurs, plus (C) the participants annual car allowance (in each case, based on the rates as in effect immediately prior to the change in control or as in effect on the date of notice of termination of the executives employment, whichever is higher);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payment for any incentive that was earned through a prior incentive cycle but has not yet been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vesting of any unvested outstanding time-based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PSU for which the applicable performance period has not ended as of the date of the participants termination of employment or the change in control (whichever occurs later), the number of shares of common stock of the Company that vest will be equal to the greater of: (x) the target number of shares of common stock of the Company subject to the award; or (y) the number of shares of common stock of the Company subject to that award that would vest based on the treatment set forth in the definitive agreement providing for the change in control with PSUs vesting at the target level of performance (or such greater level as provided in the definitive agreement providing for the change in control). Any credited dividend equivalent rights will also become proportionally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such award for which the applicable performance period has ended as of the date of the participants termination of employment or the change in control (whichever occurs later), vesting will be based on the actual achievement of the applicable performance goal(s);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applicable COBRA premium payments (as reasonably determined by the Sandisk Compensation and Talent Committee) that would be payable by the participant to continue the participants company-provided medical, dental and/or vision coverage existing as of the participants termination date for a period of 24 months following such participants termination of employment. For purposes of clarity, such cash payment will be made regardless of whether the participant actually elects coverage under COBRA and will be determined as of the participants termination of employment and not impacted by, or adjusted for, events occurring after such date (including, without limitation, changes in coverage or premiums).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health and welfare benefits will be reduced to the extent of the receipt of substantially equivalent coverage by the executive from any successor employer. The Board or the Sandisk Compensation and Talent Committee may amend, suspend and/or terminate the Sandisk CIC Severance Plan at any time in its discretion, except during a change in control period or with respect to a participant who is already entitled to payment under the Sandisk CIC Severance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Commencing on the date a change in control occurs and for 12 months thereafter (or for such shorter period of time as the participant remains employed following such change in control), the Sandisk CIC Severance Plan provides that executives will receive the following from the Company upon a change in control and for so long as they are employed thereafter: (i) a salary that is at least equal to the salary provided prior to the change in control; (ii) participation in and benefits under employee benefit plans or arrangements made available to executives of the Company generally; and (iii) reimbursement for all reasonable travel or other business expenses. </w:t>
      </w:r>
    </w:p>
    <w:p>
      <w:pPr>
        <w:pStyle w:val="TextBody"/>
        <w:bidi w:val="0"/>
        <w:spacing w:before="240" w:after="0"/>
        <w:jc w:val="left"/>
        <w:rPr>
          <w:rFonts w:ascii="Times New Roman" w:hAnsi="Times New Roman"/>
          <w:sz w:val="20"/>
        </w:rPr>
      </w:pPr>
      <w:r>
        <w:rPr>
          <w:rFonts w:ascii="Times New Roman" w:hAnsi="Times New Roman"/>
          <w:sz w:val="20"/>
        </w:rPr>
        <w:t xml:space="preserve">If the payments and benefits provided to an executive constitutes parachute payments within the meaning of Section 280G of the Internal Revenue Code and are subject to the excise tax imposed by section 4999 of the Internal Revenue Code (the Excise Tax), then the payments and benefits will be either (i) reduced (but not below zero) so that the present value of such total payments and benefits will be $1.00 less than three times the executives base amount (within the meaning of Section 280G of the Internal Revenue Code) and no portion will be subject to the Excise Tax or (ii) paid in full, whichever produces the better net after-tax position to the executive (taking into account any applicable Excise Tax and any other applicable taxes). </w:t>
      </w:r>
    </w:p>
    <w:p>
      <w:pPr>
        <w:pStyle w:val="TextBody"/>
        <w:bidi w:val="0"/>
        <w:spacing w:before="360" w:after="0"/>
        <w:jc w:val="left"/>
        <w:rPr>
          <w:rFonts w:ascii="Times New Roman" w:hAnsi="Times New Roman"/>
          <w:b/>
          <w:sz w:val="20"/>
        </w:rPr>
      </w:pPr>
      <w:r>
        <w:rPr>
          <w:rFonts w:ascii="Times New Roman" w:hAnsi="Times New Roman"/>
          <w:b/>
          <w:sz w:val="20"/>
        </w:rPr>
        <w:t xml:space="preserve">Offer Letters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Luis Felipe Visoso </w:t>
      </w:r>
    </w:p>
    <w:p>
      <w:pPr>
        <w:pStyle w:val="TextBody"/>
        <w:bidi w:val="0"/>
        <w:spacing w:before="120" w:after="0"/>
        <w:jc w:val="left"/>
        <w:rPr>
          <w:rFonts w:ascii="Times New Roman" w:hAnsi="Times New Roman"/>
          <w:sz w:val="20"/>
        </w:rPr>
      </w:pPr>
      <w:r>
        <w:rPr>
          <w:rFonts w:ascii="Times New Roman" w:hAnsi="Times New Roman"/>
          <w:sz w:val="20"/>
        </w:rPr>
        <w:t xml:space="preserve">WDC entered into an offer letter with Mr. Visoso, dated July 1, 2024, to serve as its Executive Vice President and Chief Administrative Officer. The offer letter provided for Mr. Visosos employment with WDC to transfer to Sandisk and for Mr. Visoso to serve as Chief Financial Officer of Sandisk following the spin-off. The offer letter provides for at-will employment. The offer letter provides that Mr. Visosos initial base salary is $825,000 and that during his employment with WDC, he was eligible to participate in the WDC Executive Short-Term Incentive Plan, with an individual target award of 150% of his eligible wages earned during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 sign-on RSU award with a target value of $20,000,000 that vests with respect to one half of the award on each of the first two anniversaries of the date of grant, Mr. Visoso was also eligible to receive a fiscal 2025 award under the WDC 2021 Long-Term Incentive Plan with a target value of $10,000,000 consisting of 100% RSUs (the 2025 LTI Award). The target value of Mr. Visosos annual LTI award in future fiscal years will be $9,000,000, consisting of a combination of performance and time-vested awards. The offer letter further provides that if Mr. Visosos employment with Sandisk terminates without cause (as defined in the Sandisk CIC Severance Plan (as defined below)), any then-unvested portion of the sign-on RSU award and 2025 LTI Award will vest pro-rata based on his service. </w:t>
      </w:r>
    </w:p>
    <w:p>
      <w:pPr>
        <w:pStyle w:val="TextBody"/>
        <w:bidi w:val="0"/>
        <w:spacing w:before="240" w:after="0"/>
        <w:jc w:val="left"/>
        <w:rPr>
          <w:rFonts w:ascii="Times New Roman" w:hAnsi="Times New Roman"/>
          <w:sz w:val="20"/>
        </w:rPr>
      </w:pPr>
      <w:r>
        <w:rPr>
          <w:rFonts w:ascii="Times New Roman" w:hAnsi="Times New Roman"/>
          <w:sz w:val="20"/>
        </w:rPr>
        <w:t xml:space="preserve">The offer letter additionally provides that Mr. Visoso is eligible to receive a sign-on cash award of $7,150,000, with $4,000,000 payable within 30 days of his start date and $3,150,000 payable within 30 days of the six-month anniversary of his start date. The offer letter provides that if Mr. Visosos employment with Sandisk terminates prior to the second anniversary of his start date, any portion of the sign-on cash award received prior to such termination will be subject to repayment, and Mr. Visoso will forfeit any unpaid portion of such award. The offer letter further provides that notwithstanding the foregoing, Mr. Visoso will not be required to repay the sign-on cash award if his employment is terminated without cause (as defined in the Sandisk Executive Severance Plan) and he provides a satisfactory release of claims to Sandisk. </w:t>
      </w:r>
    </w:p>
    <w:p>
      <w:pPr>
        <w:pStyle w:val="TextBody"/>
        <w:bidi w:val="0"/>
        <w:spacing w:before="240" w:after="0"/>
        <w:jc w:val="left"/>
        <w:rPr>
          <w:rFonts w:ascii="Times New Roman" w:hAnsi="Times New Roman"/>
          <w:sz w:val="20"/>
        </w:rPr>
      </w:pPr>
      <w:r>
        <w:rPr>
          <w:rFonts w:ascii="Times New Roman" w:hAnsi="Times New Roman"/>
          <w:sz w:val="20"/>
        </w:rPr>
        <w:t xml:space="preserve">The offer letter provides that as a condition of his employment, Mr. Visoso is required to sign an Employee Inventions and Confidentiality Agreement governing inventions, proprietary information and such other subject matter, which we consider vital to protect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offer letter further provides that Mr. Visoso is eligible to participate in the Sandisk 401(k) Plan and other employee benefits, including additional benefits provided exclusively to executives of his level, such as Financial Counseling Reimbursement and company paid life insurance up to $1,000,000 (which may require evidence of insurability).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various employee benefit plans that mirror the WDC 401(k) Plan and other employee benefit plans and programs, including additional benefits provided exclusively to senior executives as described in our named executive officers offer letters.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2024 Year-End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stock options and stock awards (and corresponding dividend equivalents) held by Mr. Goeckeler as of June 28, 2024. The amount shown for the market value of the stock awards is based on the closing price of WDCs common stock on June 28, 2024 ($75.77). </w:t>
      </w:r>
    </w:p>
    <w:p>
      <w:pPr>
        <w:pStyle w:val="TextBody"/>
        <w:bidi w:val="0"/>
        <w:spacing w:before="0" w:after="0"/>
        <w:jc w:val="left"/>
        <w:rPr/>
      </w:pPr>
      <w:r>
        <w:rPr/>
        <w:t> </w:t>
      </w:r>
    </w:p>
    <w:tbl>
      <w:tblPr>
        <w:tblW w:w="12750" w:type="dxa"/>
        <w:jc w:val="center"/>
        <w:tblInd w:w="0" w:type="dxa"/>
        <w:tblLayout w:type="fixed"/>
        <w:tblCellMar>
          <w:top w:w="0" w:type="dxa"/>
          <w:left w:w="0" w:type="dxa"/>
          <w:bottom w:w="0" w:type="dxa"/>
          <w:right w:w="0" w:type="dxa"/>
        </w:tblCellMar>
      </w:tblPr>
      <w:tblGrid>
        <w:gridCol w:w="755"/>
        <w:gridCol w:w="60"/>
        <w:gridCol w:w="60"/>
        <w:gridCol w:w="980"/>
        <w:gridCol w:w="60"/>
        <w:gridCol w:w="60"/>
        <w:gridCol w:w="379"/>
        <w:gridCol w:w="886"/>
        <w:gridCol w:w="60"/>
        <w:gridCol w:w="60"/>
        <w:gridCol w:w="433"/>
        <w:gridCol w:w="1012"/>
        <w:gridCol w:w="60"/>
        <w:gridCol w:w="60"/>
        <w:gridCol w:w="262"/>
        <w:gridCol w:w="613"/>
        <w:gridCol w:w="60"/>
        <w:gridCol w:w="60"/>
        <w:gridCol w:w="334"/>
        <w:gridCol w:w="781"/>
        <w:gridCol w:w="60"/>
        <w:gridCol w:w="60"/>
        <w:gridCol w:w="79"/>
        <w:gridCol w:w="1066"/>
        <w:gridCol w:w="350"/>
        <w:gridCol w:w="60"/>
        <w:gridCol w:w="60"/>
        <w:gridCol w:w="1100"/>
        <w:gridCol w:w="60"/>
        <w:gridCol w:w="60"/>
        <w:gridCol w:w="78"/>
        <w:gridCol w:w="1052"/>
        <w:gridCol w:w="350"/>
        <w:gridCol w:w="60"/>
        <w:gridCol w:w="60"/>
        <w:gridCol w:w="1100"/>
        <w:gridCol w:w="60"/>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755" w:type="dxa"/>
            <w:tcBorders/>
            <w:vAlign w:val="bottom"/>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Grant</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Unexercisable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Exercise</w:t>
            </w:r>
            <w:r>
              <w:rPr/>
              <w:br/>
            </w:r>
            <w:r>
              <w:rPr>
                <w:b/>
              </w:rPr>
              <w:t>Price</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Expiration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w:t>
            </w:r>
            <w:r>
              <w:rPr/>
              <w:br/>
            </w:r>
            <w:r>
              <w:rPr>
                <w:b/>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Market</w:t>
            </w:r>
            <w:r>
              <w:rPr/>
              <w:br/>
            </w:r>
            <w:r>
              <w:rPr>
                <w:b/>
              </w:rPr>
              <w:t>Value</w:t>
            </w:r>
            <w:r>
              <w:rPr/>
              <w:br/>
            </w:r>
            <w:r>
              <w:rPr>
                <w:b/>
              </w:rPr>
              <w:t>of Shares</w:t>
            </w:r>
            <w:r>
              <w:rPr/>
              <w:br/>
            </w:r>
            <w:r>
              <w:rPr>
                <w:b/>
              </w:rPr>
              <w:t>or Units of</w:t>
            </w:r>
            <w:r>
              <w:rPr/>
              <w:br/>
            </w:r>
            <w:r>
              <w:rPr>
                <w:b/>
              </w:rPr>
              <w:t>Stock That</w:t>
            </w:r>
            <w:r>
              <w:rPr/>
              <w:br/>
            </w:r>
            <w:r>
              <w:rPr>
                <w:b/>
              </w:rPr>
              <w:t>Have Not</w:t>
            </w:r>
            <w:r>
              <w:rPr/>
              <w:br/>
            </w:r>
            <w:r>
              <w:rPr>
                <w:b/>
              </w:rPr>
              <w:t>Vested</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Incentive</w:t>
            </w:r>
            <w:r>
              <w:rPr/>
              <w:br/>
            </w:r>
            <w:r>
              <w:rPr>
                <w:b/>
              </w:rPr>
              <w:t>Plan</w:t>
            </w:r>
            <w:r>
              <w:rPr/>
              <w:br/>
            </w:r>
            <w:r>
              <w:rPr>
                <w:b/>
              </w:rPr>
              <w:t>Awards:</w:t>
            </w:r>
            <w:r>
              <w:rPr/>
              <w:br/>
            </w:r>
            <w:r>
              <w:rPr>
                <w:b/>
              </w:rPr>
              <w:t>Number of</w:t>
            </w:r>
            <w:r>
              <w:rPr/>
              <w:br/>
            </w:r>
            <w:r>
              <w:rPr>
                <w:b/>
              </w:rPr>
              <w:t>Unearned</w:t>
            </w:r>
            <w:r>
              <w:rPr/>
              <w:br/>
            </w:r>
            <w:r>
              <w:rPr>
                <w:b/>
              </w:rPr>
              <w:t>Shares,</w:t>
            </w:r>
            <w:r>
              <w:rPr/>
              <w:br/>
            </w:r>
            <w:r>
              <w:rPr>
                <w:b/>
              </w:rPr>
              <w:t>Units or</w:t>
            </w:r>
            <w:r>
              <w:rPr/>
              <w:br/>
            </w:r>
            <w:r>
              <w:rPr>
                <w:b/>
              </w:rPr>
              <w:t>Other</w:t>
            </w:r>
            <w:r>
              <w:rPr/>
              <w:br/>
            </w:r>
            <w:r>
              <w:rPr>
                <w:b/>
              </w:rPr>
              <w:t>Rights</w:t>
            </w:r>
            <w:r>
              <w:rPr/>
              <w:br/>
            </w:r>
            <w:r>
              <w:rPr>
                <w:b/>
              </w:rPr>
              <w:t>That</w:t>
            </w:r>
            <w:r>
              <w:rPr/>
              <w:br/>
            </w:r>
            <w:r>
              <w:rPr>
                <w:b/>
              </w:rPr>
              <w:t>Have Not</w:t>
            </w:r>
            <w:r>
              <w:rPr/>
              <w:br/>
            </w:r>
            <w:r>
              <w:rPr>
                <w:b/>
              </w:rPr>
              <w:t>Vested</w:t>
            </w:r>
            <w:r>
              <w:rPr/>
              <w:br/>
            </w:r>
            <w:r>
              <w:rPr>
                <w:b/>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Incentive</w:t>
            </w:r>
            <w:r>
              <w:rPr/>
              <w:br/>
            </w:r>
            <w:r>
              <w:rPr>
                <w:b/>
              </w:rPr>
              <w:t>Plan</w:t>
            </w:r>
            <w:r>
              <w:rPr/>
              <w:br/>
            </w:r>
            <w:r>
              <w:rPr>
                <w:b/>
              </w:rPr>
              <w:t>Awards:</w:t>
            </w:r>
            <w:r>
              <w:rPr/>
              <w:br/>
            </w:r>
            <w:r>
              <w:rPr>
                <w:b/>
              </w:rPr>
              <w:t>Market or</w:t>
            </w:r>
            <w:r>
              <w:rPr/>
              <w:br/>
            </w:r>
            <w:r>
              <w:rPr>
                <w:b/>
              </w:rPr>
              <w:t>Payout</w:t>
            </w:r>
            <w:r>
              <w:rPr/>
              <w:br/>
            </w:r>
            <w:r>
              <w:rPr>
                <w:b/>
              </w:rPr>
              <w:t>Value of</w:t>
            </w:r>
            <w:r>
              <w:rPr/>
              <w:br/>
            </w:r>
            <w:r>
              <w:rPr>
                <w:b/>
              </w:rPr>
              <w:t>Unearned</w:t>
            </w:r>
            <w:r>
              <w:rPr/>
              <w:br/>
            </w:r>
            <w:r>
              <w:rPr>
                <w:b/>
              </w:rPr>
              <w:t>Shares,</w:t>
            </w:r>
            <w:r>
              <w:rPr/>
              <w:br/>
            </w:r>
            <w:r>
              <w:rPr>
                <w:b/>
              </w:rPr>
              <w:t>Units or</w:t>
            </w:r>
            <w:r>
              <w:rPr/>
              <w:br/>
            </w:r>
            <w:r>
              <w:rPr>
                <w:b/>
              </w:rPr>
              <w:t>Other</w:t>
            </w:r>
            <w:r>
              <w:rPr/>
              <w:br/>
            </w:r>
            <w:r>
              <w:rPr>
                <w:b/>
              </w:rPr>
              <w:t>Rights</w:t>
            </w:r>
            <w:r>
              <w:rPr/>
              <w:br/>
            </w:r>
            <w:r>
              <w:rPr>
                <w:b/>
              </w:rPr>
              <w:t>That Have</w:t>
            </w:r>
            <w:r>
              <w:rPr/>
              <w:br/>
            </w:r>
            <w:r>
              <w:rPr>
                <w:b/>
              </w:rPr>
              <w:t>Not</w:t>
            </w:r>
            <w:r>
              <w:rPr/>
              <w:br/>
            </w:r>
            <w:r>
              <w:rPr>
                <w:b/>
              </w:rPr>
              <w:t>Vested</w:t>
            </w:r>
            <w:r>
              <w:rPr/>
              <w:br/>
            </w:r>
            <w:r>
              <w:rPr>
                <w:b/>
              </w:rPr>
              <w:t>($)</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David V. Goeckeler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31,821</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2,411,077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8/27/2021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29,646</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2,246,277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169,353</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12,831,877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8/25/2022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70,797</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5,364,289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188,797</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14,305,149</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8/25/2023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151,937</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11,512,266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501,389</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37,990,245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RSU awards are scheduled to vest in substantially equal annual installments over four years.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RSU award is scheduled to vest 25% of the underlying shares on the first anniversary of the grant date, and an additional 6.25% of the underlying shares at the end of each three-month period thereafter until the award is fully vested on the fourth anniversary of the grant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portion of a PSU award that has been credited based on achievement of the performance goals but remained subject to a service requirement through August 27,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 PSU award granted by WDC. The numbers above reflect payment at target level, which is 100% of the target number of stock units of the full award, based on the trending performance as of the end of fiscal 2024. Because the performance metrics for fiscal 2025 was not set as of the end of fiscal 2024, the numbers above reflect the trending performance based solely on achievement of the fiscal 2023 and 2024 targets. In connection with the separation, this award was converted to time-based Sandisk RSUs, assumed under the Sandisk 2025 Long-Term Incentive Plan and is no longer subject to performance-based vesting conditions. This award is scheduled to vest on August 20,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 PSU award granted by WDC. The numbers above reflect payment at maximum performance, which is 220% of the target number of stock units of the full award, based on the trending performance as of the end of fiscal 2024. Because the performance metrics for fiscal 2025 and 2026 were not set during fiscal 2024, the numbers above reflect the trending performance based solely on achievement of the fiscal 2024 targets. In connection with the separation, this award was converted to time-based Sandisk RSUs, assumed under the Sandisk 2025 Long-Term Incentive Plan and is no longer subject to performance-based vesting conditions. This award is scheduled to vest on August 25,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Fiscal 2024 Option Exercises and Stock Vested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amount realized upon the exercise of stock options and the vesting of stock unit awards for Mr. Goeckeler during fiscal 2024. There were no stock option award exercises in fiscal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2"/>
        <w:gridCol w:w="229"/>
        <w:gridCol w:w="78"/>
        <w:gridCol w:w="1082"/>
        <w:gridCol w:w="60"/>
        <w:gridCol w:w="229"/>
        <w:gridCol w:w="80"/>
        <w:gridCol w:w="1481"/>
        <w:gridCol w:w="64"/>
      </w:tblGrid>
      <w:tr>
        <w:trPr/>
        <w:tc>
          <w:tcPr>
            <w:tcW w:w="6902"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0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4"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b/>
              </w:rPr>
            </w:pPr>
            <w:r>
              <w:rPr>
                <w:b/>
              </w:rPr>
              <w:t>Name</w:t>
            </w:r>
          </w:p>
        </w:tc>
        <w:tc>
          <w:tcPr>
            <w:tcW w:w="229"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Acquired</w:t>
            </w:r>
            <w:r>
              <w:rPr/>
              <w:br/>
            </w:r>
            <w:r>
              <w:rPr>
                <w:b/>
              </w:rPr>
              <w:t>on Vesting</w:t>
            </w:r>
            <w:r>
              <w:rPr/>
              <w:br/>
            </w:r>
            <w:r>
              <w:rPr>
                <w:b/>
              </w:rPr>
              <w:t>(#)</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pPr>
            <w:r>
              <w:rPr>
                <w:b/>
              </w:rPr>
              <w:t>Value Realized</w:t>
            </w:r>
            <w:r>
              <w:rPr/>
              <w:br/>
            </w:r>
            <w:r>
              <w:rPr>
                <w:b/>
              </w:rPr>
              <w:t>on Vesting</w:t>
            </w:r>
            <w:r>
              <w:rPr/>
              <w:br/>
            </w:r>
            <w:r>
              <w:rPr>
                <w:b/>
              </w:rPr>
              <w:t>($)(1)</w:t>
            </w:r>
          </w:p>
        </w:tc>
        <w:tc>
          <w:tcPr>
            <w:tcW w:w="64" w:type="dxa"/>
            <w:tcBorders/>
            <w:vAlign w:val="bottom"/>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22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272,326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15,062,728</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the vesting of stock awards (and corresponding dividend equivalents) is based on the closing price of WDCs common stock on the applicable vesting date (or, for PSUs, the applicable payment date) of the awards.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Fiscal 2024 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WDC permits its named executive officers and other key employees to elect to receive a portion of their compensation reported in the Fiscal 2024 Summary Compensation Table on a deferred basis under the WDC Deferred Compensation Plan. Under the plan, each participant may elect to defer up to 80% of his or her eligible compensation that may be earned during the following year. Amounts may be deferred until a specified date, retirement, disability or death. Emergency hardship withdrawals are also permitted under the plan. In connection with the separation, Sandisk has also adopted a Deferred Compensation Plan, which generally mirrors the terms of the WDC Deferred Compensation Plan. No amounts were contributed by Mr. Goeckeler to, and Mr. Goeckeler had no investment earnings, distributions or balance under, the WDC Deferred Compensation Plan during 2024.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b/>
          <w:sz w:val="20"/>
        </w:rPr>
      </w:pPr>
      <w:r>
        <w:rPr>
          <w:rFonts w:ascii="Times New Roman" w:hAnsi="Times New Roman"/>
          <w:b/>
          <w:sz w:val="20"/>
        </w:rPr>
        <w:t xml:space="preserve">Change in ControlTermination without Cause or For Good Reason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our named executive officers may be entitled to severance benefits under the Sandisk CIC Severance Plan which generally mirrors WDCs change in control severance plan (the WDC CIC Severance Plan). Under the WDC CIC Severance Plan, the severance benefits are payable if WDC terminates the named executive officers employment without cause or the named executive officer voluntarily terminates employment for good reason within 12 months after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For these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control generally means an acquisition by any person or group of more than one-third of WDC stock, certain majority changes in its Board of Directors over a period of not more than two years, mergers and similar transactions that result in a 50% or greater change in its ownership, and certain liquidations and dissolutions of WDC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generally means the commission of certain crimes by the executive officer, the executive officers willful engagement in fraud or dishonest conduct, refusal or failure to perform certain duties, breach of fiduciary duty or breach of certain other violations of WDC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reason generally means a material diminution in the executive officers authority, duties or responsibilities, a material diminution in the executive officers base compensation, certain relocations of the executives employment or a material breach by WDC (or its successor) with respect to its obligations under the WDC CIC Severance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WDC CIC Severance Plan, the severance benefits for named executive officers generally consist of the following as a Tier 1 participant: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two times the sum of the executive officers annual base compensation plus the target STI as in effect immediately prior to the change in control or as in effect on the date of notice of termination of the executive officers employment with us, whichever is higher, plus any earned but not yet paid STI payments in respect of completed performance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vesting of any unvested outstanding equity awards granted to the executive officer by us, with any performance-based equity awards as to which the applicable performance period has not ended becoming vested at the target level (or, if more favorable, as otherwise provided in the agreement providing for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applicable COBRA premium payments for a period of 24 months following the executive officers termination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Involuntary Termination without CauseNo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our named executive officers may be entitled to severance benefits under the Sandisk Executive Severance Plan which generally mirrors WDCs executive severance plan (the WDC Executive Severance Plan). The WDC Executive Severance Plan provides the following severance benefits to its named executive officers as Tier 1 participants in the event their employment is terminated without cause (generally as defined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of the executive officers monthly base salary multiplied by 24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earned but not yet paid STI payments in respect of completed performance periods and a pro rata STI payment based on the number of days in the applicable performance period during which the executive officer was employed at target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PSU awards, a prorated portion of the PSUs subject to the award will remain outstanding and vest, if at all, based on actual achievement of the performance goals over the entire performance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RSU awards, acceleration of vesting of a prorated amount of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Outplacement services at our expense for 12 months following the executive officers termination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applicable COBRA premium payments for a period of 18 months following the executive officers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Payment of severance benefits under the WDC CIC Severance Plan and the WDC Executive Severance Plan is conditioned upon the executive officers execution of a valid and effective release of claims. In addition, no executive officer is entitled to a duplication of benefits under the WDC Executive Severance Plan and any other severance plan, including the WDC CIC Severance Plan. </w:t>
      </w:r>
    </w:p>
    <w:p>
      <w:pPr>
        <w:pStyle w:val="TextBody"/>
        <w:bidi w:val="0"/>
        <w:spacing w:before="360" w:after="0"/>
        <w:jc w:val="left"/>
        <w:rPr>
          <w:rFonts w:ascii="Times New Roman" w:hAnsi="Times New Roman"/>
          <w:b/>
          <w:sz w:val="20"/>
        </w:rPr>
      </w:pPr>
      <w:r>
        <w:rPr>
          <w:rFonts w:ascii="Times New Roman" w:hAnsi="Times New Roman"/>
          <w:b/>
          <w:sz w:val="20"/>
        </w:rPr>
        <w:t xml:space="preserve">Qualified Retirement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a WDC executive officer meets certain retirement criteria, a pro rata portion of the target number of PSUs will remain outstanding and eligible to vest based on actual achievement of the performance goals over the performance period. There is no corresponding benefit for RSUs upon a qualified retirement. </w:t>
      </w:r>
    </w:p>
    <w:p>
      <w:pPr>
        <w:pStyle w:val="TextBody"/>
        <w:bidi w:val="0"/>
        <w:spacing w:before="240" w:after="0"/>
        <w:jc w:val="left"/>
        <w:rPr>
          <w:rFonts w:ascii="Times New Roman" w:hAnsi="Times New Roman"/>
          <w:sz w:val="20"/>
        </w:rPr>
      </w:pPr>
      <w:r>
        <w:rPr>
          <w:rFonts w:ascii="Times New Roman" w:hAnsi="Times New Roman"/>
          <w:sz w:val="20"/>
        </w:rPr>
        <w:t xml:space="preserve">To be eligible for retirement, the executive officer must have five years of credited service with WDC and must also be at least age 55 at the time of retirement and his or her age plus total years of credited service must be at least 70.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Death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WDC executive officers death, the vesting of a pro rata portion of the RSUs will accelerate and a pro rata portion of the target number of PSUs will remain outstanding and eligible to vest based on actual achievement of the performance goals over the performance period. For RSUs, beginning with WDCs fiscal 2025 annual grant, 50% of the outstanding RSUs will accelerate upon an executive officers death. The executive officer would also be eligible for a pro rata STI payout based on the number of days in the applicable performance period during which the executive officer was employed, subject to actual corporate performance and no individual modification.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for Cause/Misconduct </w:t>
      </w:r>
    </w:p>
    <w:p>
      <w:pPr>
        <w:pStyle w:val="TextBody"/>
        <w:bidi w:val="0"/>
        <w:spacing w:before="120" w:after="0"/>
        <w:jc w:val="left"/>
        <w:rPr>
          <w:rFonts w:ascii="Times New Roman" w:hAnsi="Times New Roman"/>
          <w:sz w:val="20"/>
        </w:rPr>
      </w:pPr>
      <w:r>
        <w:rPr>
          <w:rFonts w:ascii="Times New Roman" w:hAnsi="Times New Roman"/>
          <w:sz w:val="20"/>
        </w:rPr>
        <w:t xml:space="preserve">In the event a WDC executive officers employment is terminated for cause due to, among other reasons, the WDC executive officers misconduct or violation of company policy, the WDC executive officer will forfeit all outstanding incentives, including unearned or unvested LTI and STI awards. In addition, the WDC executive officer would not be eligible for severance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of 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WDCs estimate of the benefits payable to Mr. Goeckeler, under the arrangements described above based on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Qualifying termination of employment and/or change in control occurred on June 28,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per share of WDC common stock is equal to the closing price of WDCs common stock on June 28, 2024 ($75.77), the last trading day in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change in control, WDC does not survive the change in control, and all outstanding incentive awards are cashed out and terminated in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included in the table below are payments Mr. Goeckeler earned or accrued prior to termination, such as the balances under the WDC Deferred Compensation Plan and previously vested equity and non-equity incentive awards, which are more fully described and quantified in the tables and narratives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Compensation Element </w:t>
      </w:r>
    </w:p>
    <w:p>
      <w:pPr>
        <w:pStyle w:val="TextBody"/>
        <w:bidi w:val="0"/>
        <w:spacing w:before="0" w:after="0"/>
        <w:jc w:val="left"/>
        <w:rPr/>
      </w:pPr>
      <w:r>
        <w:rPr/>
        <w:t> </w:t>
      </w:r>
    </w:p>
    <w:tbl>
      <w:tblPr>
        <w:tblW w:w="11195" w:type="dxa"/>
        <w:jc w:val="center"/>
        <w:tblInd w:w="0" w:type="dxa"/>
        <w:tblLayout w:type="fixed"/>
        <w:tblCellMar>
          <w:top w:w="0" w:type="dxa"/>
          <w:left w:w="0" w:type="dxa"/>
          <w:bottom w:w="0" w:type="dxa"/>
          <w:right w:w="0" w:type="dxa"/>
        </w:tblCellMar>
      </w:tblPr>
      <w:tblGrid>
        <w:gridCol w:w="890"/>
        <w:gridCol w:w="120"/>
        <w:gridCol w:w="3080"/>
        <w:gridCol w:w="120"/>
        <w:gridCol w:w="66"/>
        <w:gridCol w:w="1229"/>
        <w:gridCol w:w="60"/>
        <w:gridCol w:w="120"/>
        <w:gridCol w:w="66"/>
        <w:gridCol w:w="1229"/>
        <w:gridCol w:w="60"/>
        <w:gridCol w:w="120"/>
        <w:gridCol w:w="66"/>
        <w:gridCol w:w="1229"/>
        <w:gridCol w:w="60"/>
        <w:gridCol w:w="120"/>
        <w:gridCol w:w="348"/>
        <w:gridCol w:w="812"/>
        <w:gridCol w:w="60"/>
        <w:gridCol w:w="120"/>
        <w:gridCol w:w="60"/>
        <w:gridCol w:w="1100"/>
        <w:gridCol w:w="6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b/>
              </w:rPr>
            </w:pPr>
            <w:r>
              <w:rPr>
                <w:b/>
              </w:rPr>
              <w:t>Name</w:t>
            </w:r>
          </w:p>
        </w:tc>
        <w:tc>
          <w:tcPr>
            <w:tcW w:w="120" w:type="dxa"/>
            <w:tcBorders/>
            <w:vAlign w:val="bottom"/>
          </w:tcPr>
          <w:p>
            <w:pPr>
              <w:pStyle w:val="TableContents"/>
              <w:bidi w:val="0"/>
              <w:spacing w:before="0" w:after="283"/>
              <w:jc w:val="left"/>
              <w:rPr/>
            </w:pPr>
            <w:r>
              <w:rPr/>
              <w:t>  </w:t>
            </w:r>
          </w:p>
        </w:tc>
        <w:tc>
          <w:tcPr>
            <w:tcW w:w="308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Element</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Change in</w:t>
            </w:r>
            <w:r>
              <w:rPr/>
              <w:br/>
            </w:r>
            <w:r>
              <w:rPr>
                <w:b/>
              </w:rPr>
              <w:t>Control-No</w:t>
            </w:r>
            <w:r>
              <w:rPr/>
              <w:br/>
            </w:r>
            <w:r>
              <w:rPr>
                <w:b/>
              </w:rPr>
              <w:t>Termination</w:t>
            </w:r>
            <w:r>
              <w:rPr/>
              <w:br/>
            </w:r>
            <w:r>
              <w:rPr>
                <w:b/>
              </w:rPr>
              <w:t>(Awards</w:t>
            </w:r>
            <w:r>
              <w:rPr/>
              <w:br/>
            </w:r>
            <w:r>
              <w:rPr>
                <w:b/>
              </w:rPr>
              <w:t>Not</w:t>
            </w:r>
            <w:r>
              <w:rPr/>
              <w:br/>
            </w:r>
            <w:r>
              <w:rPr>
                <w:b/>
              </w:rPr>
              <w:t>Assumed)</w:t>
            </w:r>
            <w:r>
              <w:rPr/>
              <w:br/>
            </w:r>
            <w:r>
              <w:rPr>
                <w:b/>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Change in</w:t>
            </w:r>
            <w:r>
              <w:rPr/>
              <w:br/>
            </w:r>
            <w:r>
              <w:rPr>
                <w:b/>
              </w:rPr>
              <w:t>Control-</w:t>
            </w:r>
            <w:r>
              <w:rPr/>
              <w:br/>
            </w:r>
            <w:r>
              <w:rPr>
                <w:b/>
              </w:rPr>
              <w:t>With</w:t>
            </w:r>
            <w:r>
              <w:rPr/>
              <w:br/>
            </w:r>
            <w:r>
              <w:rPr>
                <w:b/>
              </w:rPr>
              <w:t>Termination</w:t>
            </w:r>
            <w:r>
              <w:rPr/>
              <w:br/>
            </w:r>
            <w:r>
              <w:rPr>
                <w:b/>
              </w:rPr>
              <w:t>Without</w:t>
            </w:r>
            <w:r>
              <w:rPr/>
              <w:br/>
            </w:r>
            <w:r>
              <w:rPr>
                <w:b/>
              </w:rPr>
              <w:t>Cause</w:t>
            </w:r>
            <w:r>
              <w:rPr/>
              <w:br/>
            </w:r>
            <w:r>
              <w:rPr>
                <w:b/>
              </w:rPr>
              <w:t>or For Good</w:t>
            </w:r>
            <w:r>
              <w:rPr/>
              <w:br/>
            </w:r>
            <w:r>
              <w:rPr>
                <w:b/>
              </w:rPr>
              <w:t>Reason</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Involuntary</w:t>
            </w:r>
            <w:r>
              <w:rPr/>
              <w:br/>
            </w:r>
            <w:r>
              <w:rPr>
                <w:b/>
              </w:rPr>
              <w:t>Termination</w:t>
            </w:r>
            <w:r>
              <w:rPr/>
              <w:br/>
            </w:r>
            <w:r>
              <w:rPr>
                <w:b/>
              </w:rPr>
              <w:t>Without</w:t>
            </w:r>
            <w:r>
              <w:rPr/>
              <w:br/>
            </w:r>
            <w:r>
              <w:rPr>
                <w:b/>
              </w:rPr>
              <w:t>Cause-No</w:t>
            </w:r>
            <w:r>
              <w:rPr/>
              <w:br/>
            </w:r>
            <w:r>
              <w:rPr>
                <w:b/>
              </w:rPr>
              <w:t>Change in</w:t>
            </w:r>
            <w:r>
              <w:rPr/>
              <w:br/>
            </w:r>
            <w:r>
              <w:rPr>
                <w:b/>
              </w:rPr>
              <w:t>Control</w:t>
            </w:r>
            <w:r>
              <w:rPr/>
              <w:br/>
            </w:r>
            <w:r>
              <w:rPr>
                <w:b/>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Qualified</w:t>
            </w:r>
            <w:r>
              <w:rPr/>
              <w:br/>
            </w:r>
            <w:r>
              <w:rPr>
                <w:b/>
              </w:rPr>
              <w:t>Retirement</w:t>
            </w:r>
            <w:r>
              <w:rPr/>
              <w:br/>
            </w:r>
            <w:r>
              <w:rPr>
                <w:b/>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Death</w:t>
            </w:r>
            <w:r>
              <w:rPr/>
              <w:br/>
            </w:r>
            <w:r>
              <w:rPr>
                <w:b/>
              </w:rPr>
              <w:t>($)(2)</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David V. Goeckeler</w:t>
            </w:r>
          </w:p>
        </w:tc>
        <w:tc>
          <w:tcPr>
            <w:tcW w:w="120" w:type="dxa"/>
            <w:tcBorders/>
            <w:shd w:fill="CCEEFF" w:val="clear"/>
            <w:vAlign w:val="bottom"/>
          </w:tcPr>
          <w:p>
            <w:pPr>
              <w:pStyle w:val="TableContents"/>
              <w:bidi w:val="0"/>
              <w:spacing w:before="0" w:after="283"/>
              <w:jc w:val="left"/>
              <w:rPr/>
            </w:pPr>
            <w:r>
              <w:rPr/>
              <w:t>  </w:t>
            </w:r>
          </w:p>
        </w:tc>
        <w:tc>
          <w:tcPr>
            <w:tcW w:w="3080" w:type="dxa"/>
            <w:tcBorders/>
            <w:shd w:fill="CCEEFF" w:val="clear"/>
            <w:vAlign w:val="bottom"/>
          </w:tcPr>
          <w:p>
            <w:pPr>
              <w:pStyle w:val="TableContents"/>
              <w:bidi w:val="0"/>
              <w:spacing w:before="0" w:after="283"/>
              <w:jc w:val="left"/>
              <w:rPr/>
            </w:pPr>
            <w:r>
              <w:rPr/>
              <w:t>Cash Severance</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6,875,000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4,687,500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80" w:type="dxa"/>
            <w:tcBorders/>
            <w:vAlign w:val="bottom"/>
          </w:tcPr>
          <w:p>
            <w:pPr>
              <w:pStyle w:val="TableContents"/>
              <w:bidi w:val="0"/>
              <w:spacing w:before="0" w:after="283"/>
              <w:jc w:val="left"/>
              <w:rPr/>
            </w:pPr>
            <w:r>
              <w:rPr/>
              <w:t>RSU Acceleration(4)</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21,533,910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21,533,910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4,797,945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4,797,945</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0" w:type="dxa"/>
            <w:tcBorders/>
            <w:shd w:fill="CCEEFF" w:val="clear"/>
            <w:vAlign w:val="bottom"/>
          </w:tcPr>
          <w:p>
            <w:pPr>
              <w:pStyle w:val="TableContents"/>
              <w:bidi w:val="0"/>
              <w:spacing w:before="0" w:after="283"/>
              <w:jc w:val="left"/>
              <w:rPr/>
            </w:pPr>
            <w:r>
              <w:rPr/>
              <w:t>PSU Acceleration(5)</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42,356,642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42,356,642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26,039,355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26,039,355</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80" w:type="dxa"/>
            <w:tcBorders/>
            <w:vAlign w:val="bottom"/>
          </w:tcPr>
          <w:p>
            <w:pPr>
              <w:pStyle w:val="TableContents"/>
              <w:bidi w:val="0"/>
              <w:spacing w:before="0" w:after="283"/>
              <w:jc w:val="left"/>
              <w:rPr/>
            </w:pPr>
            <w:r>
              <w:rPr/>
              <w:t>Continuation of Benefits(6)</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50,499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33,887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80" w:type="dxa"/>
            <w:tcBorders/>
            <w:shd w:fill="CCEEFF" w:val="clear"/>
            <w:vAlign w:val="bottom"/>
          </w:tcPr>
          <w:p>
            <w:pPr>
              <w:pStyle w:val="TableContents"/>
              <w:bidi w:val="0"/>
              <w:spacing w:before="0" w:after="283"/>
              <w:jc w:val="left"/>
              <w:rPr/>
            </w:pPr>
            <w:r>
              <w:rPr/>
              <w:t>Value of Outplacement Services</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3,200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80" w:type="dxa"/>
            <w:tcBorders/>
            <w:vAlign w:val="bottom"/>
          </w:tcPr>
          <w:p>
            <w:pPr>
              <w:pStyle w:val="TableContents"/>
              <w:bidi w:val="0"/>
              <w:spacing w:before="0" w:after="283"/>
              <w:jc w:val="left"/>
              <w:rPr>
                <w:b/>
              </w:rPr>
            </w:pPr>
            <w:r>
              <w:rPr>
                <w:b/>
              </w:rPr>
              <w:t>TOTAL</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63,890,552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70,816,051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35,561,887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30,837,300</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Goeckelers equity awards will not automatically vest because a change in control event occurs. The amounts shown represent the estimated value of the acceleration of outstanding equity incentive compensation under WDCs incentive compensation plans in connection with a change in control as if it occurred on June 28, 2024 (regardless of whether a termination of employment also occurs) assuming that the awards were to be terminated in connection with the change in control and the WDC Compensation and Talent Committee had not provided for the assumption, substitution or other continuation of the awards.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PSU awards, where applicable, the amounts are prorated and assume achievement at 100% of the target level of performance for the performance period or, if applicable, the credited amount.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28, 2024, Mr. Goeckeler did not meet the requirements for a qualified retiree with respect to PSUs.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are based on the intrinsic value of the portion of the RSU award that would have accelerated as of June 28, 2024. These intrinsic values were based on the closing price of WDCs common stock on June 28, 2024 ($75.77).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represent the target number of PSUs subject to the award that would have remained outstanding and eligible to vest in connection with the termination event and are based on the intrinsic value of those stock units as of June 28, 2024. These intrinsic values were calculated by multiplying (i) the closing price of WDCs common stock on June 28, 2024 ($75.77), by (ii) the target number of PSUs or, if applicable, the credited amount, that would have remained outstanding and eligible to vest as of June 28,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the calculation for these amounts, expected costs have not been adjusted for any actuarial assumptions related to mortality, likelihood that the named executive officer will find other employment or discount rates for determining present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WDC Non-GAAP Financial Measures Used for Incentive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WDCs Compensation and Talent Committee used non-GAAP operating income as a pre-established performance goal under the STI plan for fiscal 2024 and non-GAAP diluted income per common share (which we also refer to as non-GAAP EPS) as a pre-established performance goal under the fiscal 2022-2024, fiscal 2023-2025 and fiscal 2024-2026 PSU awards. In accordance with the pre-established terms of the STI and PSU awards, these non-GAAP performance measures excluded certain material or unusual items that WDC believes are not indicative of the underlying performance of its business as detailed below. These non-GAAP measures are not an alternative for measures prepared in accordance with GAAP and may be different from non-GAAP measures used by other companies. These measures should be considered in addition to financial measures prepared in accordance with GAAP, but should not be considered a substitute for, or superior to, GAAP results. The presentation of these non-GAAP measures, when shown in conjunction with the corresponding GAAP measures, provides useful information to investors for measuring our performance and comparing it against prior periods. </w:t>
      </w:r>
    </w:p>
    <w:p>
      <w:pPr>
        <w:pStyle w:val="TextBody"/>
        <w:bidi w:val="0"/>
        <w:spacing w:before="360" w:after="0"/>
        <w:jc w:val="left"/>
        <w:rPr>
          <w:rFonts w:ascii="Times New Roman" w:hAnsi="Times New Roman"/>
          <w:b/>
          <w:sz w:val="20"/>
        </w:rPr>
      </w:pPr>
      <w:r>
        <w:rPr>
          <w:rFonts w:ascii="Times New Roman" w:hAnsi="Times New Roman"/>
          <w:b/>
          <w:sz w:val="20"/>
        </w:rPr>
        <w:t xml:space="preserve">Reconciliations of WDC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reconciliations of WDCs GAAP operating loss to its non-GAAP operating income/ (loss) and WDCs GAAP diluted income/(loss) per common share to its non-GAAP diluted income/(loss) per common share: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36"/>
        <w:gridCol w:w="486"/>
        <w:gridCol w:w="241"/>
        <w:gridCol w:w="1184"/>
        <w:gridCol w:w="155"/>
        <w:gridCol w:w="486"/>
        <w:gridCol w:w="241"/>
        <w:gridCol w:w="1184"/>
        <w:gridCol w:w="159"/>
      </w:tblGrid>
      <w:tr>
        <w:trPr/>
        <w:tc>
          <w:tcPr>
            <w:tcW w:w="4436"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36" w:type="dxa"/>
            <w:tcBorders/>
            <w:vAlign w:val="bottom"/>
          </w:tcPr>
          <w:p>
            <w:pPr>
              <w:pStyle w:val="TableContents"/>
              <w:bidi w:val="0"/>
              <w:spacing w:before="0" w:after="283"/>
              <w:jc w:val="left"/>
              <w:rPr>
                <w:b/>
              </w:rPr>
            </w:pPr>
            <w:r>
              <w:rPr>
                <w:b/>
              </w:rPr>
              <w:t>(in millions, except per share information, unaudited)</w:t>
            </w:r>
          </w:p>
        </w:tc>
        <w:tc>
          <w:tcPr>
            <w:tcW w:w="486"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June 28, 2024</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June 30, 2023</w:t>
            </w:r>
          </w:p>
        </w:tc>
        <w:tc>
          <w:tcPr>
            <w:tcW w:w="159" w:type="dxa"/>
            <w:tcBorders/>
            <w:vAlign w:val="bottom"/>
          </w:tcPr>
          <w:p>
            <w:pPr>
              <w:pStyle w:val="TableContents"/>
              <w:bidi w:val="0"/>
              <w:spacing w:before="0" w:after="283"/>
              <w:jc w:val="left"/>
              <w:rPr/>
            </w:pPr>
            <w:r>
              <w:rPr/>
              <w:t> </w:t>
            </w:r>
          </w:p>
        </w:tc>
      </w:tr>
      <w:tr>
        <w:trPr/>
        <w:tc>
          <w:tcPr>
            <w:tcW w:w="44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13,003</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12,318</w:t>
            </w:r>
          </w:p>
        </w:tc>
        <w:tc>
          <w:tcPr>
            <w:tcW w:w="159" w:type="dxa"/>
            <w:tcBorders/>
            <w:shd w:fill="CCEEFF" w:val="clear"/>
            <w:vAlign w:val="bottom"/>
          </w:tcPr>
          <w:p>
            <w:pPr>
              <w:pStyle w:val="TableContents"/>
              <w:bidi w:val="0"/>
              <w:spacing w:before="0" w:after="283"/>
              <w:jc w:val="left"/>
              <w:rPr/>
            </w:pPr>
            <w:r>
              <w:rPr/>
              <w:t> </w:t>
            </w:r>
          </w:p>
        </w:tc>
      </w:tr>
      <w:tr>
        <w:trPr/>
        <w:tc>
          <w:tcPr>
            <w:tcW w:w="4436" w:type="dxa"/>
            <w:tcBorders/>
          </w:tcPr>
          <w:p>
            <w:pPr>
              <w:pStyle w:val="TableContents"/>
              <w:bidi w:val="0"/>
              <w:spacing w:before="0" w:after="0"/>
              <w:jc w:val="left"/>
              <w:rPr>
                <w:rFonts w:ascii="Times New Roman" w:hAnsi="Times New Roman"/>
                <w:b/>
                <w:sz w:val="20"/>
              </w:rPr>
            </w:pPr>
            <w:r>
              <w:rPr>
                <w:rFonts w:ascii="Times New Roman" w:hAnsi="Times New Roman"/>
                <w:b/>
                <w:sz w:val="20"/>
              </w:rPr>
              <w:t>Reconciliation of non-GAAP operating income (loss)</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operating loss</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(317</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(1,285</w:t>
            </w:r>
          </w:p>
        </w:tc>
        <w:tc>
          <w:tcPr>
            <w:tcW w:w="159" w:type="dxa"/>
            <w:tcBorders/>
            <w:shd w:fill="CCEEFF" w:val="clear"/>
            <w:vAlign w:val="bottom"/>
          </w:tcPr>
          <w:p>
            <w:pPr>
              <w:pStyle w:val="TableContents"/>
              <w:bidi w:val="0"/>
              <w:spacing w:before="0" w:after="283"/>
              <w:jc w:val="left"/>
              <w:rPr/>
            </w:pPr>
            <w:r>
              <w:rPr/>
              <w:t>) </w:t>
            </w:r>
          </w:p>
        </w:tc>
      </w:tr>
      <w:tr>
        <w:trPr/>
        <w:tc>
          <w:tcPr>
            <w:tcW w:w="443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295</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318</w:t>
            </w:r>
          </w:p>
        </w:tc>
        <w:tc>
          <w:tcPr>
            <w:tcW w:w="159" w:type="dxa"/>
            <w:tcBorders/>
            <w:vAlign w:val="bottom"/>
          </w:tcPr>
          <w:p>
            <w:pPr>
              <w:pStyle w:val="TableContents"/>
              <w:bidi w:val="0"/>
              <w:spacing w:before="0" w:after="283"/>
              <w:jc w:val="left"/>
              <w:rPr/>
            </w:pPr>
            <w:r>
              <w:rPr/>
              <w:t> </w:t>
            </w:r>
          </w:p>
        </w:tc>
      </w:tr>
      <w:tr>
        <w:trPr/>
        <w:tc>
          <w:tcPr>
            <w:tcW w:w="4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133</w:t>
            </w:r>
          </w:p>
        </w:tc>
        <w:tc>
          <w:tcPr>
            <w:tcW w:w="159" w:type="dxa"/>
            <w:tcBorders/>
            <w:shd w:fill="CCEEFF" w:val="clear"/>
            <w:vAlign w:val="bottom"/>
          </w:tcPr>
          <w:p>
            <w:pPr>
              <w:pStyle w:val="TableContents"/>
              <w:bidi w:val="0"/>
              <w:spacing w:before="0" w:after="283"/>
              <w:jc w:val="left"/>
              <w:rPr/>
            </w:pPr>
            <w:r>
              <w:rPr/>
              <w:t> </w:t>
            </w:r>
          </w:p>
        </w:tc>
      </w:tr>
      <w:tr>
        <w:trPr/>
        <w:tc>
          <w:tcPr>
            <w:tcW w:w="4436" w:type="dxa"/>
            <w:tcBorders/>
          </w:tcPr>
          <w:p>
            <w:pPr>
              <w:pStyle w:val="TableContents"/>
              <w:bidi w:val="0"/>
              <w:spacing w:before="0" w:after="0"/>
              <w:jc w:val="left"/>
              <w:rPr>
                <w:rFonts w:ascii="Times New Roman" w:hAnsi="Times New Roman"/>
                <w:sz w:val="20"/>
              </w:rPr>
            </w:pPr>
            <w:r>
              <w:rPr>
                <w:rFonts w:ascii="Times New Roman" w:hAnsi="Times New Roman"/>
                <w:sz w:val="20"/>
              </w:rPr>
              <w:t>Recovery from contamination incident</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Litigation matter</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291</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436" w:type="dxa"/>
            <w:tcBorders/>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 charges</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193</w:t>
            </w:r>
          </w:p>
        </w:tc>
        <w:tc>
          <w:tcPr>
            <w:tcW w:w="159" w:type="dxa"/>
            <w:tcBorders/>
            <w:vAlign w:val="bottom"/>
          </w:tcPr>
          <w:p>
            <w:pPr>
              <w:pStyle w:val="TableContents"/>
              <w:bidi w:val="0"/>
              <w:spacing w:before="0" w:after="283"/>
              <w:jc w:val="left"/>
              <w:rPr/>
            </w:pPr>
            <w:r>
              <w:rPr/>
              <w:t> </w:t>
            </w:r>
          </w:p>
        </w:tc>
      </w:tr>
      <w:tr>
        <w:trPr/>
        <w:tc>
          <w:tcPr>
            <w:tcW w:w="4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review</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42</w:t>
            </w:r>
          </w:p>
        </w:tc>
        <w:tc>
          <w:tcPr>
            <w:tcW w:w="159" w:type="dxa"/>
            <w:tcBorders/>
            <w:shd w:fill="CCEEFF" w:val="clear"/>
            <w:vAlign w:val="bottom"/>
          </w:tcPr>
          <w:p>
            <w:pPr>
              <w:pStyle w:val="TableContents"/>
              <w:bidi w:val="0"/>
              <w:spacing w:before="0" w:after="283"/>
              <w:jc w:val="left"/>
              <w:rPr/>
            </w:pPr>
            <w:r>
              <w:rPr/>
              <w:t> </w:t>
            </w:r>
          </w:p>
        </w:tc>
      </w:tr>
      <w:tr>
        <w:trPr/>
        <w:tc>
          <w:tcPr>
            <w:tcW w:w="4436" w:type="dxa"/>
            <w:tcBorders/>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4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5</w:t>
            </w:r>
          </w:p>
        </w:tc>
        <w:tc>
          <w:tcPr>
            <w:tcW w:w="159" w:type="dxa"/>
            <w:tcBorders/>
            <w:shd w:fill="CCEEFF" w:val="clear"/>
            <w:vAlign w:val="bottom"/>
          </w:tcPr>
          <w:p>
            <w:pPr>
              <w:pStyle w:val="TableContents"/>
              <w:bidi w:val="0"/>
              <w:spacing w:before="0" w:after="283"/>
              <w:jc w:val="left"/>
              <w:rPr/>
            </w:pPr>
            <w:r>
              <w:rPr/>
              <w:t> </w:t>
            </w:r>
          </w:p>
        </w:tc>
      </w:tr>
      <w:tr>
        <w:trPr/>
        <w:tc>
          <w:tcPr>
            <w:tcW w:w="4436"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36"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 (loss)</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512</w:t>
            </w:r>
          </w:p>
        </w:tc>
        <w:tc>
          <w:tcPr>
            <w:tcW w:w="15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(594</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48"/>
        <w:gridCol w:w="389"/>
        <w:gridCol w:w="332"/>
        <w:gridCol w:w="1107"/>
        <w:gridCol w:w="155"/>
        <w:gridCol w:w="389"/>
        <w:gridCol w:w="262"/>
        <w:gridCol w:w="1177"/>
        <w:gridCol w:w="155"/>
        <w:gridCol w:w="389"/>
        <w:gridCol w:w="260"/>
        <w:gridCol w:w="1043"/>
        <w:gridCol w:w="66"/>
      </w:tblGrid>
      <w:tr>
        <w:trPr/>
        <w:tc>
          <w:tcPr>
            <w:tcW w:w="2848"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4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June 28, 2024</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June 30, 2023</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July 1, 2022</w:t>
            </w:r>
          </w:p>
        </w:tc>
        <w:tc>
          <w:tcPr>
            <w:tcW w:w="66" w:type="dxa"/>
            <w:tcBorders/>
            <w:vAlign w:val="bottom"/>
          </w:tcPr>
          <w:p>
            <w:pPr>
              <w:pStyle w:val="TableContents"/>
              <w:bidi w:val="0"/>
              <w:spacing w:before="0" w:after="283"/>
              <w:jc w:val="left"/>
              <w:rPr/>
            </w:pPr>
            <w:r>
              <w:rPr/>
              <w:t> </w:t>
            </w:r>
          </w:p>
        </w:tc>
      </w:tr>
      <w:tr>
        <w:trPr/>
        <w:tc>
          <w:tcPr>
            <w:tcW w:w="28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non-GAAP net income (loss) and earnings per share:</w:t>
            </w:r>
          </w:p>
        </w:tc>
        <w:tc>
          <w:tcPr>
            <w:tcW w:w="38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48" w:type="dxa"/>
            <w:tcBorders/>
          </w:tcPr>
          <w:p>
            <w:pPr>
              <w:pStyle w:val="TableContents"/>
              <w:bidi w:val="0"/>
              <w:spacing w:before="0" w:after="0"/>
              <w:jc w:val="left"/>
              <w:rPr>
                <w:rFonts w:ascii="Times New Roman" w:hAnsi="Times New Roman"/>
                <w:sz w:val="20"/>
              </w:rPr>
            </w:pPr>
            <w:r>
              <w:rPr>
                <w:rFonts w:ascii="Times New Roman" w:hAnsi="Times New Roman"/>
                <w:sz w:val="20"/>
              </w:rPr>
              <w:t>GAAP net income (loss)</w:t>
            </w:r>
          </w:p>
        </w:tc>
        <w:tc>
          <w:tcPr>
            <w:tcW w:w="38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(798</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(1,684</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1,546</w:t>
            </w:r>
          </w:p>
        </w:tc>
        <w:tc>
          <w:tcPr>
            <w:tcW w:w="66" w:type="dxa"/>
            <w:tcBorders/>
            <w:vAlign w:val="bottom"/>
          </w:tcPr>
          <w:p>
            <w:pPr>
              <w:pStyle w:val="TableContents"/>
              <w:bidi w:val="0"/>
              <w:spacing w:before="0" w:after="283"/>
              <w:jc w:val="left"/>
              <w:rPr/>
            </w:pPr>
            <w:r>
              <w:rPr/>
              <w:t> </w:t>
            </w:r>
          </w:p>
        </w:tc>
      </w:tr>
      <w:tr>
        <w:trPr/>
        <w:tc>
          <w:tcPr>
            <w:tcW w:w="28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8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295</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326</w:t>
            </w:r>
          </w:p>
        </w:tc>
        <w:tc>
          <w:tcPr>
            <w:tcW w:w="66" w:type="dxa"/>
            <w:tcBorders/>
            <w:shd w:fill="CCEEFF" w:val="clear"/>
            <w:vAlign w:val="bottom"/>
          </w:tcPr>
          <w:p>
            <w:pPr>
              <w:pStyle w:val="TableContents"/>
              <w:bidi w:val="0"/>
              <w:spacing w:before="0" w:after="283"/>
              <w:jc w:val="left"/>
              <w:rPr/>
            </w:pPr>
            <w:r>
              <w:rPr/>
              <w:t> </w:t>
            </w:r>
          </w:p>
        </w:tc>
      </w:tr>
      <w:tr>
        <w:trPr/>
        <w:tc>
          <w:tcPr>
            <w:tcW w:w="2848" w:type="dxa"/>
            <w:tcBorders/>
          </w:tcPr>
          <w:p>
            <w:pPr>
              <w:pStyle w:val="TableContents"/>
              <w:bidi w:val="0"/>
              <w:spacing w:before="0" w:after="0"/>
              <w:jc w:val="left"/>
              <w:rPr>
                <w:rFonts w:ascii="Times New Roman" w:hAnsi="Times New Roman"/>
                <w:sz w:val="20"/>
              </w:rPr>
            </w:pPr>
            <w:r>
              <w:rPr>
                <w:rFonts w:ascii="Times New Roman" w:hAnsi="Times New Roman"/>
                <w:sz w:val="20"/>
              </w:rPr>
              <w:t>Litigation matter</w:t>
            </w:r>
          </w:p>
        </w:tc>
        <w:tc>
          <w:tcPr>
            <w:tcW w:w="38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 charges</w:t>
            </w:r>
          </w:p>
        </w:tc>
        <w:tc>
          <w:tcPr>
            <w:tcW w:w="38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43</w:t>
            </w:r>
          </w:p>
        </w:tc>
        <w:tc>
          <w:tcPr>
            <w:tcW w:w="66" w:type="dxa"/>
            <w:tcBorders/>
            <w:shd w:fill="CCEEFF" w:val="clear"/>
            <w:vAlign w:val="bottom"/>
          </w:tcPr>
          <w:p>
            <w:pPr>
              <w:pStyle w:val="TableContents"/>
              <w:bidi w:val="0"/>
              <w:spacing w:before="0" w:after="283"/>
              <w:jc w:val="left"/>
              <w:rPr/>
            </w:pPr>
            <w:r>
              <w:rPr/>
              <w:t> </w:t>
            </w:r>
          </w:p>
        </w:tc>
      </w:tr>
      <w:tr>
        <w:trPr/>
        <w:tc>
          <w:tcPr>
            <w:tcW w:w="2848" w:type="dxa"/>
            <w:tcBorders/>
          </w:tcPr>
          <w:p>
            <w:pPr>
              <w:pStyle w:val="TableContents"/>
              <w:bidi w:val="0"/>
              <w:spacing w:before="0" w:after="0"/>
              <w:jc w:val="left"/>
              <w:rPr>
                <w:rFonts w:ascii="Times New Roman" w:hAnsi="Times New Roman"/>
                <w:sz w:val="20"/>
              </w:rPr>
            </w:pPr>
            <w:r>
              <w:rPr>
                <w:rFonts w:ascii="Times New Roman" w:hAnsi="Times New Roman"/>
                <w:sz w:val="20"/>
              </w:rPr>
              <w:t>Business separation cost</w:t>
            </w:r>
          </w:p>
        </w:tc>
        <w:tc>
          <w:tcPr>
            <w:tcW w:w="38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38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221</w:t>
            </w:r>
          </w:p>
        </w:tc>
        <w:tc>
          <w:tcPr>
            <w:tcW w:w="66" w:type="dxa"/>
            <w:tcBorders/>
            <w:shd w:fill="CCEEFF" w:val="clear"/>
            <w:vAlign w:val="bottom"/>
          </w:tcPr>
          <w:p>
            <w:pPr>
              <w:pStyle w:val="TableContents"/>
              <w:bidi w:val="0"/>
              <w:spacing w:before="0" w:after="283"/>
              <w:jc w:val="left"/>
              <w:rPr/>
            </w:pPr>
            <w:r>
              <w:rPr/>
              <w:t> </w:t>
            </w:r>
          </w:p>
        </w:tc>
      </w:tr>
      <w:tr>
        <w:trPr/>
        <w:tc>
          <w:tcPr>
            <w:tcW w:w="2848" w:type="dxa"/>
            <w:tcBorders/>
          </w:tcPr>
          <w:p>
            <w:pPr>
              <w:pStyle w:val="TableContents"/>
              <w:bidi w:val="0"/>
              <w:spacing w:before="0" w:after="0"/>
              <w:jc w:val="left"/>
              <w:rPr>
                <w:rFonts w:ascii="Times New Roman" w:hAnsi="Times New Roman"/>
                <w:sz w:val="20"/>
              </w:rPr>
            </w:pPr>
            <w:r>
              <w:rPr>
                <w:rFonts w:ascii="Times New Roman" w:hAnsi="Times New Roman"/>
                <w:sz w:val="20"/>
              </w:rPr>
              <w:t>Contamination related charges</w:t>
            </w:r>
          </w:p>
        </w:tc>
        <w:tc>
          <w:tcPr>
            <w:tcW w:w="38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207</w:t>
            </w:r>
          </w:p>
        </w:tc>
        <w:tc>
          <w:tcPr>
            <w:tcW w:w="66" w:type="dxa"/>
            <w:tcBorders/>
            <w:vAlign w:val="bottom"/>
          </w:tcPr>
          <w:p>
            <w:pPr>
              <w:pStyle w:val="TableContents"/>
              <w:bidi w:val="0"/>
              <w:spacing w:before="0" w:after="283"/>
              <w:jc w:val="left"/>
              <w:rPr/>
            </w:pPr>
            <w:r>
              <w:rPr/>
              <w:t> </w:t>
            </w:r>
          </w:p>
        </w:tc>
      </w:tr>
      <w:tr>
        <w:trPr/>
        <w:tc>
          <w:tcPr>
            <w:tcW w:w="28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Recovery from contamination incident</w:t>
            </w:r>
          </w:p>
        </w:tc>
        <w:tc>
          <w:tcPr>
            <w:tcW w:w="38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2808"/>
        <w:gridCol w:w="382"/>
        <w:gridCol w:w="305"/>
        <w:gridCol w:w="1135"/>
        <w:gridCol w:w="155"/>
        <w:gridCol w:w="382"/>
        <w:gridCol w:w="262"/>
        <w:gridCol w:w="1178"/>
        <w:gridCol w:w="155"/>
        <w:gridCol w:w="382"/>
        <w:gridCol w:w="253"/>
        <w:gridCol w:w="1013"/>
        <w:gridCol w:w="162"/>
      </w:tblGrid>
      <w:tr>
        <w:trPr/>
        <w:tc>
          <w:tcPr>
            <w:tcW w:w="2808"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08"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June 28, 2024</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June 30, 2023</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July 1, 2022</w:t>
            </w:r>
          </w:p>
        </w:tc>
        <w:tc>
          <w:tcPr>
            <w:tcW w:w="162" w:type="dxa"/>
            <w:tcBorders/>
            <w:vAlign w:val="bottom"/>
          </w:tcPr>
          <w:p>
            <w:pPr>
              <w:pStyle w:val="TableContents"/>
              <w:bidi w:val="0"/>
              <w:spacing w:before="0" w:after="283"/>
              <w:jc w:val="left"/>
              <w:rPr/>
            </w:pPr>
            <w:r>
              <w:rPr/>
              <w:t> </w:t>
            </w:r>
          </w:p>
        </w:tc>
      </w:tr>
      <w:tr>
        <w:trPr/>
        <w:tc>
          <w:tcPr>
            <w:tcW w:w="2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Recovery related to a power outage incident</w:t>
            </w:r>
          </w:p>
        </w:tc>
        <w:tc>
          <w:tcPr>
            <w:tcW w:w="38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(7</w:t>
            </w:r>
          </w:p>
        </w:tc>
        <w:tc>
          <w:tcPr>
            <w:tcW w:w="162" w:type="dxa"/>
            <w:tcBorders/>
            <w:shd w:fill="CCEEFF" w:val="clear"/>
            <w:vAlign w:val="bottom"/>
          </w:tcPr>
          <w:p>
            <w:pPr>
              <w:pStyle w:val="TableContents"/>
              <w:bidi w:val="0"/>
              <w:spacing w:before="0" w:after="283"/>
              <w:jc w:val="left"/>
              <w:rPr/>
            </w:pPr>
            <w:r>
              <w:rPr/>
              <w:t>) </w:t>
            </w:r>
          </w:p>
        </w:tc>
      </w:tr>
      <w:tr>
        <w:trPr/>
        <w:tc>
          <w:tcPr>
            <w:tcW w:w="2808" w:type="dxa"/>
            <w:tcBorders/>
          </w:tcPr>
          <w:p>
            <w:pPr>
              <w:pStyle w:val="TableContents"/>
              <w:bidi w:val="0"/>
              <w:spacing w:before="0" w:after="0"/>
              <w:jc w:val="left"/>
              <w:rPr>
                <w:rFonts w:ascii="Times New Roman" w:hAnsi="Times New Roman"/>
                <w:sz w:val="20"/>
              </w:rPr>
            </w:pPr>
            <w:r>
              <w:rPr>
                <w:rFonts w:ascii="Times New Roman" w:hAnsi="Times New Roman"/>
                <w:sz w:val="20"/>
              </w:rPr>
              <w:t>Strategic review</w:t>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economic interest and Other</w:t>
            </w:r>
          </w:p>
        </w:tc>
        <w:tc>
          <w:tcPr>
            <w:tcW w:w="38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r>
      <w:tr>
        <w:trPr/>
        <w:tc>
          <w:tcPr>
            <w:tcW w:w="280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adjustments</w:t>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301</w:t>
            </w:r>
          </w:p>
        </w:tc>
        <w:tc>
          <w:tcPr>
            <w:tcW w:w="162" w:type="dxa"/>
            <w:tcBorders/>
            <w:vAlign w:val="bottom"/>
          </w:tcPr>
          <w:p>
            <w:pPr>
              <w:pStyle w:val="TableContents"/>
              <w:bidi w:val="0"/>
              <w:spacing w:before="0" w:after="283"/>
              <w:jc w:val="left"/>
              <w:rPr/>
            </w:pPr>
            <w:r>
              <w:rPr/>
              <w:t> </w:t>
            </w:r>
          </w:p>
        </w:tc>
      </w:tr>
      <w:tr>
        <w:trPr/>
        <w:tc>
          <w:tcPr>
            <w:tcW w:w="2808"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non-GAAP net income (loss) and earnings per share:</w:t>
            </w:r>
          </w:p>
        </w:tc>
        <w:tc>
          <w:tcPr>
            <w:tcW w:w="38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808"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(loss)</w:t>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(1,109</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2,645</w:t>
            </w:r>
          </w:p>
        </w:tc>
        <w:tc>
          <w:tcPr>
            <w:tcW w:w="162" w:type="dxa"/>
            <w:tcBorders/>
            <w:vAlign w:val="bottom"/>
          </w:tcPr>
          <w:p>
            <w:pPr>
              <w:pStyle w:val="TableContents"/>
              <w:bidi w:val="0"/>
              <w:spacing w:before="0" w:after="283"/>
              <w:jc w:val="left"/>
              <w:rPr/>
            </w:pPr>
            <w:r>
              <w:rPr/>
              <w:t> </w:t>
            </w:r>
          </w:p>
        </w:tc>
      </w:tr>
      <w:tr>
        <w:trPr/>
        <w:tc>
          <w:tcPr>
            <w:tcW w:w="2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cumulative dividends allocated to preferred shareholders</w:t>
            </w:r>
          </w:p>
        </w:tc>
        <w:tc>
          <w:tcPr>
            <w:tcW w:w="38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808"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08"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(loss) attributable to common shareholders</w:t>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(1,133</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2,645</w:t>
            </w:r>
          </w:p>
        </w:tc>
        <w:tc>
          <w:tcPr>
            <w:tcW w:w="162" w:type="dxa"/>
            <w:tcBorders/>
            <w:vAlign w:val="bottom"/>
          </w:tcPr>
          <w:p>
            <w:pPr>
              <w:pStyle w:val="TableContents"/>
              <w:bidi w:val="0"/>
              <w:spacing w:before="0" w:after="283"/>
              <w:jc w:val="left"/>
              <w:rPr/>
            </w:pPr>
            <w:r>
              <w:rPr/>
              <w:t> </w:t>
            </w:r>
          </w:p>
        </w:tc>
      </w:tr>
      <w:tr>
        <w:trPr/>
        <w:tc>
          <w:tcPr>
            <w:tcW w:w="28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weighted average shares outstanding</w:t>
            </w:r>
          </w:p>
        </w:tc>
        <w:tc>
          <w:tcPr>
            <w:tcW w:w="38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808" w:type="dxa"/>
            <w:tcBorders/>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326</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318</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316</w:t>
            </w:r>
          </w:p>
        </w:tc>
        <w:tc>
          <w:tcPr>
            <w:tcW w:w="162" w:type="dxa"/>
            <w:tcBorders/>
            <w:vAlign w:val="bottom"/>
          </w:tcPr>
          <w:p>
            <w:pPr>
              <w:pStyle w:val="TableContents"/>
              <w:bidi w:val="0"/>
              <w:spacing w:before="0" w:after="283"/>
              <w:jc w:val="left"/>
              <w:rPr/>
            </w:pPr>
            <w:r>
              <w:rPr/>
              <w:t> </w:t>
            </w:r>
          </w:p>
        </w:tc>
      </w:tr>
      <w:tr>
        <w:trPr/>
        <w:tc>
          <w:tcPr>
            <w:tcW w:w="2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w:t>
            </w:r>
          </w:p>
        </w:tc>
        <w:tc>
          <w:tcPr>
            <w:tcW w:w="38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316</w:t>
            </w:r>
          </w:p>
        </w:tc>
        <w:tc>
          <w:tcPr>
            <w:tcW w:w="162" w:type="dxa"/>
            <w:tcBorders/>
            <w:shd w:fill="CCEEFF" w:val="clear"/>
            <w:vAlign w:val="bottom"/>
          </w:tcPr>
          <w:p>
            <w:pPr>
              <w:pStyle w:val="TableContents"/>
              <w:bidi w:val="0"/>
              <w:spacing w:before="0" w:after="283"/>
              <w:jc w:val="left"/>
              <w:rPr/>
            </w:pPr>
            <w:r>
              <w:rPr/>
              <w:t> </w:t>
            </w:r>
          </w:p>
        </w:tc>
      </w:tr>
      <w:tr>
        <w:trPr/>
        <w:tc>
          <w:tcPr>
            <w:tcW w:w="2808"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income (loss) per common share:</w:t>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382"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135" w:type="dxa"/>
            <w:tcBorders/>
            <w:shd w:fill="CCEEFF" w:val="clear"/>
            <w:vAlign w:val="bottom"/>
          </w:tcPr>
          <w:p>
            <w:pPr>
              <w:pStyle w:val="TableContents"/>
              <w:bidi w:val="0"/>
              <w:spacing w:before="0" w:after="283"/>
              <w:jc w:val="right"/>
              <w:rPr/>
            </w:pPr>
            <w:r>
              <w:rPr/>
              <w:t>(2.61</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(5.37</w:t>
            </w:r>
          </w:p>
        </w:tc>
        <w:tc>
          <w:tcPr>
            <w:tcW w:w="15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4.89</w:t>
            </w:r>
          </w:p>
        </w:tc>
        <w:tc>
          <w:tcPr>
            <w:tcW w:w="162" w:type="dxa"/>
            <w:tcBorders/>
            <w:shd w:fill="CCEEFF" w:val="clear"/>
            <w:vAlign w:val="bottom"/>
          </w:tcPr>
          <w:p>
            <w:pPr>
              <w:pStyle w:val="TableContents"/>
              <w:bidi w:val="0"/>
              <w:spacing w:before="0" w:after="283"/>
              <w:jc w:val="left"/>
              <w:rPr/>
            </w:pPr>
            <w:r>
              <w:rPr/>
              <w:t> </w:t>
            </w:r>
          </w:p>
        </w:tc>
      </w:tr>
      <w:tr>
        <w:trPr/>
        <w:tc>
          <w:tcPr>
            <w:tcW w:w="2808" w:type="dxa"/>
            <w:tcBorders/>
          </w:tcPr>
          <w:p>
            <w:pPr>
              <w:pStyle w:val="TableContents"/>
              <w:bidi w:val="0"/>
              <w:spacing w:before="0" w:after="0"/>
              <w:jc w:val="left"/>
              <w:rPr>
                <w:rFonts w:ascii="Times New Roman" w:hAnsi="Times New Roman"/>
                <w:sz w:val="20"/>
              </w:rPr>
            </w:pPr>
            <w:r>
              <w:rPr>
                <w:rFonts w:ascii="Times New Roman" w:hAnsi="Times New Roman"/>
                <w:sz w:val="20"/>
              </w:rPr>
              <w:t>Non-GAAP</w:t>
            </w:r>
          </w:p>
        </w:tc>
        <w:tc>
          <w:tcPr>
            <w:tcW w:w="38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(0.20</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(3.56</w:t>
            </w:r>
          </w:p>
        </w:tc>
        <w:tc>
          <w:tcPr>
            <w:tcW w:w="155"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8.37</w:t>
            </w:r>
          </w:p>
        </w:tc>
        <w:tc>
          <w:tcPr>
            <w:tcW w:w="1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Explanations of Adjustments to Non-GAAP Measures </w:t>
      </w:r>
    </w:p>
    <w:p>
      <w:pPr>
        <w:pStyle w:val="TextBody"/>
        <w:bidi w:val="0"/>
        <w:spacing w:before="120" w:after="0"/>
        <w:jc w:val="left"/>
        <w:rPr>
          <w:rFonts w:ascii="Times New Roman" w:hAnsi="Times New Roman"/>
          <w:sz w:val="20"/>
        </w:rPr>
      </w:pPr>
      <w:r>
        <w:rPr>
          <w:rFonts w:ascii="Times New Roman" w:hAnsi="Times New Roman"/>
          <w:sz w:val="20"/>
        </w:rPr>
        <w:t xml:space="preserve">As detailed above, WDC excludes the following items from its non-GAAP financial measures: </w:t>
      </w:r>
    </w:p>
    <w:p>
      <w:pPr>
        <w:pStyle w:val="TextBody"/>
        <w:bidi w:val="0"/>
        <w:spacing w:before="120" w:after="0"/>
        <w:jc w:val="left"/>
        <w:rPr>
          <w:rFonts w:ascii="Times New Roman" w:hAnsi="Times New Roman"/>
          <w:sz w:val="20"/>
        </w:rPr>
      </w:pPr>
      <w:r>
        <w:rPr>
          <w:rFonts w:ascii="Times New Roman" w:hAnsi="Times New Roman"/>
          <w:sz w:val="20"/>
          <w:u w:val="single"/>
        </w:rPr>
        <w:t>Stock-based compensation expense</w:t>
      </w:r>
      <w:r>
        <w:rPr>
          <w:rFonts w:ascii="Times New Roman" w:hAnsi="Times New Roman"/>
          <w:sz w:val="20"/>
        </w:rPr>
        <w:t xml:space="preserve">. Because of the variety of equity awards used by companies, the varying methodologies for determining stock-based compensation expense, the subjective assumptions involved in those determinations and the volatility in valuations that can be driven by market conditions outside WDCs control, WDC believes excluding stock-based compensation expense enhances the ability of management and investors to understand and assess the underlying performance of its business over time and compare it against WDCs peers, a majority of whom also exclude stock-based compensation expense from their non-GAAP results. </w:t>
      </w:r>
    </w:p>
    <w:p>
      <w:pPr>
        <w:pStyle w:val="TextBody"/>
        <w:bidi w:val="0"/>
        <w:spacing w:before="240" w:after="0"/>
        <w:jc w:val="left"/>
        <w:rPr>
          <w:rFonts w:ascii="Times New Roman" w:hAnsi="Times New Roman"/>
          <w:sz w:val="20"/>
        </w:rPr>
      </w:pPr>
      <w:r>
        <w:rPr>
          <w:rFonts w:ascii="Times New Roman" w:hAnsi="Times New Roman"/>
          <w:sz w:val="20"/>
          <w:u w:val="single"/>
        </w:rPr>
        <w:t>Litigation matter</w:t>
      </w:r>
      <w:r>
        <w:rPr>
          <w:rFonts w:ascii="Times New Roman" w:hAnsi="Times New Roman"/>
          <w:sz w:val="20"/>
        </w:rPr>
        <w:t xml:space="preserve">. WDC accrues expenses in the fiscal fourth quarter associated with a recent judgment in a patent litigation matter, which is discussed more fully in WDCs Annual Report on Form 10-K filed with the SEC on August 20, 2024. WDC believes these charges do not reflect its operating results and that they are not indicative of the underlying performance of its business. </w:t>
      </w:r>
    </w:p>
    <w:p>
      <w:pPr>
        <w:pStyle w:val="TextBody"/>
        <w:bidi w:val="0"/>
        <w:spacing w:before="240" w:after="0"/>
        <w:jc w:val="left"/>
        <w:rPr>
          <w:rFonts w:ascii="Times New Roman" w:hAnsi="Times New Roman"/>
          <w:sz w:val="20"/>
        </w:rPr>
      </w:pPr>
      <w:r>
        <w:rPr>
          <w:rFonts w:ascii="Times New Roman" w:hAnsi="Times New Roman"/>
          <w:sz w:val="20"/>
          <w:u w:val="single"/>
        </w:rPr>
        <w:t>Employee termination, asset impairment and other charges</w:t>
      </w:r>
      <w:r>
        <w:rPr>
          <w:rFonts w:ascii="Times New Roman" w:hAnsi="Times New Roman"/>
          <w:sz w:val="20"/>
        </w:rPr>
        <w:t xml:space="preserve">. From time-to-time, in order to realign its operations with anticipated market demand or to achieve cost synergies from the integration of acquisitions, WDC may terminate employees and/or restructure its operations. From time-to-time, WDC may also incur charges from the impairment of intangible assets and other long-lived assets. In addition, WDC may record credits related to gains upon sale of property due to restructuring or reversals of charges recorded in prior periods. In addition, in fiscal 2024, WDC has taken actions to reduce the amount of capital invested in facilities, including the sale-leaseback of facilities. These charges or credits are inconsistent in amount and frequency, and WDC believes they are not indicative of the underlying performance of its business. </w:t>
      </w:r>
    </w:p>
    <w:p>
      <w:pPr>
        <w:pStyle w:val="TextBody"/>
        <w:bidi w:val="0"/>
        <w:spacing w:before="240" w:after="0"/>
        <w:jc w:val="left"/>
        <w:rPr>
          <w:rFonts w:ascii="Times New Roman" w:hAnsi="Times New Roman"/>
          <w:sz w:val="20"/>
        </w:rPr>
      </w:pPr>
      <w:r>
        <w:rPr>
          <w:rFonts w:ascii="Times New Roman" w:hAnsi="Times New Roman"/>
          <w:sz w:val="20"/>
          <w:u w:val="single"/>
        </w:rPr>
        <w:t>Business separation cost.</w:t>
      </w:r>
      <w:r>
        <w:rPr>
          <w:rFonts w:ascii="Times New Roman" w:hAnsi="Times New Roman"/>
          <w:sz w:val="20"/>
        </w:rPr>
        <w:t xml:space="preserve"> WDC incurred expenses associated with this separation of its HDD and Flash business units to create two independent, public companies. WDC believes these charges do not reflect its operating results and that they are not indicative of the underlying performance of its business. </w:t>
      </w:r>
    </w:p>
    <w:p>
      <w:pPr>
        <w:pStyle w:val="TextBody"/>
        <w:bidi w:val="0"/>
        <w:spacing w:before="240" w:after="0"/>
        <w:jc w:val="left"/>
        <w:rPr>
          <w:rFonts w:ascii="Times New Roman" w:hAnsi="Times New Roman"/>
          <w:sz w:val="20"/>
        </w:rPr>
      </w:pPr>
      <w:r>
        <w:rPr>
          <w:rFonts w:ascii="Times New Roman" w:hAnsi="Times New Roman"/>
          <w:sz w:val="20"/>
          <w:u w:val="single"/>
        </w:rPr>
        <w:t>Amortization of acquired intangible assets</w:t>
      </w:r>
      <w:r>
        <w:rPr>
          <w:rFonts w:ascii="Times New Roman" w:hAnsi="Times New Roman"/>
          <w:sz w:val="20"/>
        </w:rPr>
        <w:t xml:space="preserve">. WDC incurs expenses from the amortization of acquired intangible assets over their economic lives. Such charges are significantly impacted by the timing and magnitude of WDCs acquisitions and any related impairment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Contamination related charges</w:t>
      </w:r>
      <w:r>
        <w:rPr>
          <w:rFonts w:ascii="Times New Roman" w:hAnsi="Times New Roman"/>
          <w:sz w:val="20"/>
        </w:rPr>
        <w:t xml:space="preserve">. In February 2022, a contamination of certain materials used in WDCs manufacturing process occurred and affected production operation at the flash-based memory manufacturing facilities in Yokkaichi and Kitakami, Japan, which are operated through its joint business ventures with Kioxia. The contamination resulted in scrapped inventory and rework costs, decontamination and other costs needed to restore the facilities to normal capacity, and under absorption of overhead costs, which are expensed as incurred. These charges are inconsistent in amount and frequency, and WDC believes these charges are not part of the ongoing production operation of its business. </w:t>
      </w:r>
    </w:p>
    <w:p>
      <w:pPr>
        <w:pStyle w:val="TextBody"/>
        <w:bidi w:val="0"/>
        <w:spacing w:before="240" w:after="0"/>
        <w:jc w:val="left"/>
        <w:rPr>
          <w:rFonts w:ascii="Times New Roman" w:hAnsi="Times New Roman"/>
          <w:sz w:val="20"/>
        </w:rPr>
      </w:pPr>
      <w:r>
        <w:rPr>
          <w:rFonts w:ascii="Times New Roman" w:hAnsi="Times New Roman"/>
          <w:sz w:val="20"/>
          <w:u w:val="single"/>
        </w:rPr>
        <w:t>Recovery from contamination incident</w:t>
      </w:r>
      <w:r>
        <w:rPr>
          <w:rFonts w:ascii="Times New Roman" w:hAnsi="Times New Roman"/>
          <w:sz w:val="20"/>
        </w:rPr>
        <w:t xml:space="preserve">. In February 2022, a contamination of certain materials used in WDCs manufacturing process occurred and affected production operations at the flash-based memory manufacturing facilities in Yokkaichi and Kitakami, Japan, which are operated through its joint business ventures with Kioxia. The contamination resulted in scrapped inventory and rework costs, decontamination and other costs needed to restore the facilities to normal capacity, and under absorption of overhead costs which were expensed as incurred. During the quarters ended December 29, 2023, and March 29, 2024, WDC received recoveries of these losses from other parties. The contamination charges and related recoveries were inconsistent in amount and frequency, and WDC believes they were not part of the ongoing production operation of its business. </w:t>
      </w:r>
    </w:p>
    <w:p>
      <w:pPr>
        <w:pStyle w:val="TextBody"/>
        <w:bidi w:val="0"/>
        <w:spacing w:before="240" w:after="0"/>
        <w:jc w:val="left"/>
        <w:rPr>
          <w:rFonts w:ascii="Times New Roman" w:hAnsi="Times New Roman"/>
          <w:sz w:val="20"/>
        </w:rPr>
      </w:pPr>
      <w:r>
        <w:rPr>
          <w:rFonts w:ascii="Times New Roman" w:hAnsi="Times New Roman"/>
          <w:sz w:val="20"/>
          <w:u w:val="single"/>
        </w:rPr>
        <w:t>Recovery related to a power outage incident</w:t>
      </w:r>
      <w:r>
        <w:rPr>
          <w:rFonts w:ascii="Times New Roman" w:hAnsi="Times New Roman"/>
          <w:sz w:val="20"/>
        </w:rPr>
        <w:t xml:space="preserve">. In June 2019, an unexpected power outage incident occurred at the flash-based memory manufacturing facilities operated through WDCs joint venture with Kioxia in Yokkaichi, Japan. The power outage incident resulted in costs associated with the repair of damaged tools and the write-off of damaged inventory and unabsorbed manufacturing overhead costs which are expensed as incurred. During fiscal 2021 and 2022, WDC received recoveries of these losses from other parties. The recoveries are inconsistent in amount and frequency, and WDC believes they are not part of the ongoing production operation of its business. </w:t>
      </w:r>
    </w:p>
    <w:p>
      <w:pPr>
        <w:pStyle w:val="TextBody"/>
        <w:bidi w:val="0"/>
        <w:spacing w:before="240" w:after="0"/>
        <w:jc w:val="left"/>
        <w:rPr>
          <w:rFonts w:ascii="Times New Roman" w:hAnsi="Times New Roman"/>
          <w:sz w:val="20"/>
        </w:rPr>
      </w:pPr>
      <w:r>
        <w:rPr>
          <w:rFonts w:ascii="Times New Roman" w:hAnsi="Times New Roman"/>
          <w:sz w:val="20"/>
          <w:u w:val="single"/>
        </w:rPr>
        <w:t>Strategic review</w:t>
      </w:r>
      <w:r>
        <w:rPr>
          <w:rFonts w:ascii="Times New Roman" w:hAnsi="Times New Roman"/>
          <w:sz w:val="20"/>
        </w:rPr>
        <w:t xml:space="preserve">. WDC incurred expenses associated with its review of strategic alternatives that resulted in the planned separation of its HDD and Flash business units to create two independent, public companies. WDC believes these charges do not reflect its operating results and that they are not indicative of the underlying performance of its business. </w:t>
      </w:r>
    </w:p>
    <w:p>
      <w:pPr>
        <w:pStyle w:val="TextBody"/>
        <w:bidi w:val="0"/>
        <w:spacing w:before="240" w:after="0"/>
        <w:jc w:val="left"/>
        <w:rPr>
          <w:rFonts w:ascii="Times New Roman" w:hAnsi="Times New Roman"/>
          <w:sz w:val="20"/>
        </w:rPr>
      </w:pPr>
      <w:r>
        <w:rPr>
          <w:rFonts w:ascii="Times New Roman" w:hAnsi="Times New Roman"/>
          <w:sz w:val="20"/>
          <w:u w:val="single"/>
        </w:rPr>
        <w:t>Non-cash economic interest</w:t>
      </w:r>
      <w:r>
        <w:rPr>
          <w:rFonts w:ascii="Times New Roman" w:hAnsi="Times New Roman"/>
          <w:sz w:val="20"/>
        </w:rPr>
        <w:t xml:space="preserve">. WDC have excluded non-cash economic interest expense associated with its convertible notes recognized in periods prior to its adoption of the Financial Accounting Standards Board Accounting Standards Update No. 2020-06, DebtDebt with Conversion and Other Options (Subtopic 470-20) and Derivatives and HedgingContracts in Entitys Own Equity (Subtopic 815-40): Accounting for Convertible Instruments and Contracts in an Entitys Own Equity, which WDC adopted at the beginning of its fiscal year ending June 30, 2023. The exclusion of such amounts from prior periods facilitates a comparison of WDCs prior period results to the current period presentation. </w:t>
      </w:r>
    </w:p>
    <w:p>
      <w:pPr>
        <w:pStyle w:val="TextBody"/>
        <w:bidi w:val="0"/>
        <w:spacing w:before="240" w:after="0"/>
        <w:jc w:val="left"/>
        <w:rPr>
          <w:rFonts w:ascii="Times New Roman" w:hAnsi="Times New Roman"/>
          <w:sz w:val="20"/>
        </w:rPr>
      </w:pPr>
      <w:r>
        <w:rPr>
          <w:rFonts w:ascii="Times New Roman" w:hAnsi="Times New Roman"/>
          <w:sz w:val="20"/>
          <w:u w:val="single"/>
        </w:rPr>
        <w:t>Other adjustments</w:t>
      </w:r>
      <w:r>
        <w:rPr>
          <w:rFonts w:ascii="Times New Roman" w:hAnsi="Times New Roman"/>
          <w:sz w:val="20"/>
        </w:rPr>
        <w:t xml:space="preserve">. From time-to-time, WDC sells or impairs investments or other assets which are not considered necessary to its business operations or incur other charges or gains that WDC believes are not a part of the ongoing operation of its business. The resulting expense or benefit is inconsistent in amount and frequency. </w:t>
      </w:r>
    </w:p>
    <w:p>
      <w:pPr>
        <w:pStyle w:val="TextBody"/>
        <w:bidi w:val="0"/>
        <w:spacing w:before="240" w:after="0"/>
        <w:jc w:val="left"/>
        <w:rPr>
          <w:rFonts w:ascii="Times New Roman" w:hAnsi="Times New Roman"/>
          <w:sz w:val="20"/>
        </w:rPr>
      </w:pPr>
      <w:r>
        <w:rPr>
          <w:rFonts w:ascii="Times New Roman" w:hAnsi="Times New Roman"/>
          <w:sz w:val="20"/>
          <w:u w:val="single"/>
        </w:rPr>
        <w:t>Income tax adjustments</w:t>
      </w:r>
      <w:r>
        <w:rPr>
          <w:rFonts w:ascii="Times New Roman" w:hAnsi="Times New Roman"/>
          <w:sz w:val="20"/>
        </w:rPr>
        <w:t xml:space="preserve">. Income tax adjustments include the difference between income taxes based on a forecasted annual non-GAAP tax rate and a forecasted annual GAAP tax rate as a result of the timing of certain non-GAAP pre-tax adjustments. The income tax adjustments also include adjustments to estimates related to the current status of the rules and regulations governing the transition to the Tax Cuts and Jobs Act and the re-measurement of certain unrecognized tax benefits primarily related to tax positions taken in prior periods, including interest. These adjustments are excluded because WDC believes that they are not indicative of the underlying performance of its ongoing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934557_16"/>
      <w:bookmarkEnd w:id="18"/>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Agreements with WDC </w:t>
      </w:r>
    </w:p>
    <w:p>
      <w:pPr>
        <w:pStyle w:val="TextBody"/>
        <w:bidi w:val="0"/>
        <w:spacing w:before="120" w:after="0"/>
        <w:jc w:val="left"/>
        <w:rPr>
          <w:rFonts w:ascii="Times New Roman" w:hAnsi="Times New Roman"/>
          <w:sz w:val="20"/>
        </w:rPr>
      </w:pPr>
      <w:r>
        <w:rPr>
          <w:rFonts w:ascii="Times New Roman" w:hAnsi="Times New Roman"/>
          <w:sz w:val="20"/>
        </w:rPr>
        <w:t xml:space="preserve">With the spin-off completed, WDC and Sandisk are now separate independent companies. WDC owns 19.9% of our common stock and will own such shares of our common stock for a period of up to 12 months following the distribution. The current relationship between WDC and Sandisk is governed by certain ancillary agreements WDC and Sandisk entered into in connection with the spin-off. These agreements provide for the allocation between Sandisk and WDC of WDCs and Sandisks assets, employees, liabilities and obligations (including employee benefits and tax-related assets and liabilities) attributable to periods prior to, at and after Sandisks spin-off from WDC. </w:t>
      </w:r>
    </w:p>
    <w:p>
      <w:pPr>
        <w:pStyle w:val="TextBody"/>
        <w:bidi w:val="0"/>
        <w:spacing w:before="240" w:after="0"/>
        <w:jc w:val="left"/>
        <w:rPr>
          <w:rFonts w:ascii="Times New Roman" w:hAnsi="Times New Roman"/>
          <w:sz w:val="20"/>
        </w:rPr>
      </w:pPr>
      <w:r>
        <w:rPr>
          <w:rFonts w:ascii="Times New Roman" w:hAnsi="Times New Roman"/>
          <w:sz w:val="20"/>
        </w:rPr>
        <w:t xml:space="preserve">The material agreements described below are filed as exhibits to the registration statement on Form S-1, of which this prospectus forms a part, and the summaries below set forth the terms of the agreements that Sandisk believes are material. These summaries are qualified in their entireties by reference to the full text of the applicable agreements, which are incorporated by reference into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Separation and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and distribution agreement sets forth our agreement with WDC regarding the principal transactions necessary to separate Sandisk from WDC. It also sets forth other agreements that govern certain aspects of our relationship with WDC after the completion of the distribution. The parties entered into the separation and distribution agreement immediately before the distribution of Sandisk common stock to WDC stockholders. </w:t>
      </w:r>
    </w:p>
    <w:p>
      <w:pPr>
        <w:pStyle w:val="TextBody"/>
        <w:bidi w:val="0"/>
        <w:spacing w:before="240" w:after="0"/>
        <w:jc w:val="left"/>
        <w:rPr>
          <w:rFonts w:ascii="Times New Roman" w:hAnsi="Times New Roman"/>
          <w:sz w:val="20"/>
        </w:rPr>
      </w:pPr>
      <w:r>
        <w:rPr>
          <w:rFonts w:ascii="Times New Roman" w:hAnsi="Times New Roman"/>
          <w:i/>
          <w:sz w:val="20"/>
        </w:rPr>
        <w:t>Transfer of Assets and Assumption of Liabilities</w:t>
      </w:r>
      <w:r>
        <w:rPr>
          <w:rFonts w:ascii="Times New Roman" w:hAnsi="Times New Roman"/>
          <w:sz w:val="20"/>
        </w:rPr>
        <w:t xml:space="preserve">. The separation and distribution agreement identifies assets to be transferred to or retained by, liabilities to be assumed or retained by, and contracts to be assigned to each of Sandisk and WDC as part of the reorganization of WDC, and describes when and how these transfers, assumptions and assignments would occur, although many of the transfers, assumptions and assignments had already occurred prior to the parties entering into the separation and distribution agreement. In particular, the separation and distribution agreement provides that, subject to the terms and conditions contained in the separation and distribution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constituting Flash Assets are retained by or transferred to Sandisk or one of our subsidiaries. Flash Assets consist of, among other things, assets primarily related to the Flash Business (except as otherwise set forth in the separation and distribution agreement), all rights to causes of action to the extent related to the Flash Business or any assets or liabilities allocated to Sandisk and certain owned and leased real properties designated as Flash Assets. All other assets of WDC that are not Flash Assets were retained by or transferred to WDC. These retained assets include, among others, certain owned and leased real property and all rights to causes of action to the extent that they do not relate to the Flash Business or any assets or liabilities allocated to Sandisk. WDC may reduce the amount of cash and cash equivalents in Sandisk and its subsidiaries in excess of $1,339 million at the time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WDCs transfer to Sandisk, and Sandisks assumption of, certain liabilities, whether arising prior to, at or after the distribution, regardless of when and where such liabilities arose or where, or against whom, such liabilities are asserted or determined, including, among others, liabilities to the extent relating to the conduct and operation of the Flash Business and/or the ownership, operation or use of any Flash Assets (other than liabilities of a business that has been divested or discontinued prior to the distribution) and certain environmental liabilities arising from owned or leased real properties designated as Flash Assets. WDC retained all liabilities not assumed by Sandisk.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in the separation and distribution agreement or any ancillary agreement, WDC is responsible for all costs and expenses incurred on or prior to the distribution by WDC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Sandisk in connection with the preparation, execution, delivery and implementation of the separation and distribution agreement or any ancillary agreement, and each party will bear its own direct and indirect costs and expenses incurred from and after the distribution in connection with the preparation, execution, delivery and implementation of the separation and distribution agreement or any ancillary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allocation of liabilities with respect to taxes, except for payroll taxes and reporting and other tax matters expressly covered by the employee matters agreement, are solely covered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may expressly be set forth in the separation and distribution agreement or any ancillary agreement, all assets are transferred on an as is, where is basis and the respective transferees bear the economic and legal risks that any conveyance proves to be insufficient to vest in the transferee good title, free and clear of any security interest, that any necessary consents or governmental approvals are not obtained, and that any requirements of laws or judgments are not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Information in this prospectus with respect to the assets and liabilities of the parties following the separation is presented based on the allocation of such assets and liabilities pursuant to the separation and distribution agreement, unless the context otherwise requires. Certain of the liabilities and obligations to be assumed by one party or for which one party has an indemnification obligation under the separation and distribution agreement and the other agreements relating to the separation are and continue to be the legal or contractual liabilities or obligations of another party. Each such party that continues to be subject to such legal or contractual liability or obligation relies on the applicable party that assumed the liability or obligation or the applicable party that undertook an indemnification obligation with respect to the liability or obligation, as applicable, under the separation and distribution agreement, to satisfy the performance and payment obligations or indemnification obligations with respect to such legal or contractual liability or obligation. </w:t>
      </w:r>
    </w:p>
    <w:p>
      <w:pPr>
        <w:pStyle w:val="TextBody"/>
        <w:bidi w:val="0"/>
        <w:spacing w:before="240" w:after="0"/>
        <w:jc w:val="left"/>
        <w:rPr>
          <w:rFonts w:ascii="Times New Roman" w:hAnsi="Times New Roman"/>
          <w:sz w:val="20"/>
        </w:rPr>
      </w:pPr>
      <w:r>
        <w:rPr>
          <w:rFonts w:ascii="Times New Roman" w:hAnsi="Times New Roman"/>
          <w:i/>
          <w:sz w:val="20"/>
        </w:rPr>
        <w:t>Releases and Indemnifications</w:t>
      </w:r>
      <w:r>
        <w:rPr>
          <w:rFonts w:ascii="Times New Roman" w:hAnsi="Times New Roman"/>
          <w:sz w:val="20"/>
        </w:rPr>
        <w:t xml:space="preserve">. Except as otherwise provided in the separation and distribution agreement or any ancillary agreement, each party releases and forever discharges the other party and its subsidiaries and affiliates and all persons who are or have been stockholders, directors, partners, managers, managing members, officers, agents or employees of the other party or any of their respective subsidiaries, as applicable (in each case, in their respective capacities as such) (excluding any shareholder of WDC or Sandisk) (the Indemnified Parties), from all liabilities existing or arising from any acts or events occurring or failing to occur or alleged to have occurred or to have failed to occur or any conditions existing or alleged to have existed on or before the distribution, whether or not known as of the distribution, including in connection with the transactions and all other activities to implement the separation or the distribution. The releases do not extend to obligations from and after the separation under or relating to any agreement between the parties that did not terminate as of the distribution. In addition, the separation and distribution agreement provides for cross-indemnities that, except as otherwise provided in the separation and distribution agreement, are principally designed to place financial responsibility for the obligations and liabilities of the Flash Business with Sandisk and financial responsibility for the obligations and liabilities of WDCs business with WDC. Specifically, each party will, and will cause its subsidiaries to, indemnify, defend and hold harmless the other party and the applicable Indemnified Parties for any loss that proximately results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liabilities each such party assumed or retained pursuant to the separation and distribution agreement, including failure of a party to pay, perform or otherwise promptly discharge any liability assumed or retained, as applicable, pursuant to the separation and distribution agreement in accordance with their respective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or failure to perform, by such party or its subsidiaries of any covenants or obligations to be performed from and after the separation by such persons pursuant to the separation and distribution agreement or any ancillary agreement, unless such ancillary agreement expressly provides for separate indemnification therein, in which case any such indemnification claims will be made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partys aforementioned indemnification obligations are uncapped, </w:t>
      </w:r>
      <w:r>
        <w:rPr>
          <w:rFonts w:ascii="Times New Roman" w:hAnsi="Times New Roman"/>
          <w:i/>
          <w:sz w:val="20"/>
        </w:rPr>
        <w:t xml:space="preserve">provided </w:t>
      </w:r>
      <w:r>
        <w:rPr>
          <w:rFonts w:ascii="Times New Roman" w:hAnsi="Times New Roman"/>
          <w:sz w:val="20"/>
        </w:rPr>
        <w:t xml:space="preserve">that the amount of each partys indemnification obligations are subject to reduction by any insurance proceeds (net of premium increases) received by the party being indemnified. The separation and distribution agreement also specifies procedures with respect to claims subject to indemnification and related matters. Indemnification with respect to taxes will be governed solely by the tax matters agreement. </w:t>
      </w:r>
    </w:p>
    <w:p>
      <w:pPr>
        <w:pStyle w:val="TextBody"/>
        <w:bidi w:val="0"/>
        <w:spacing w:before="24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Sandisk generally is responsible for obtaining and maintaining Sandisks own insurance coverage and is no longer an insured party under WDCs insurance policies following the separation. </w:t>
      </w:r>
    </w:p>
    <w:p>
      <w:pPr>
        <w:pStyle w:val="TextBody"/>
        <w:bidi w:val="0"/>
        <w:spacing w:before="240" w:after="0"/>
        <w:jc w:val="left"/>
        <w:rPr>
          <w:rFonts w:ascii="Times New Roman" w:hAnsi="Times New Roman"/>
          <w:sz w:val="20"/>
        </w:rPr>
      </w:pPr>
      <w:r>
        <w:rPr>
          <w:rFonts w:ascii="Times New Roman" w:hAnsi="Times New Roman"/>
          <w:i/>
          <w:sz w:val="20"/>
        </w:rPr>
        <w:t>Non-Compete</w:t>
      </w:r>
      <w:r>
        <w:rPr>
          <w:rFonts w:ascii="Times New Roman" w:hAnsi="Times New Roman"/>
          <w:sz w:val="20"/>
        </w:rPr>
        <w:t xml:space="preserve">. Under the separation and distribution agreement, and subject to certain exceptions, for a period of forty (40) months following the separation, WDC will not develop, manufacture, market or sell standalone SSDs. </w:t>
      </w:r>
    </w:p>
    <w:p>
      <w:pPr>
        <w:pStyle w:val="TextBody"/>
        <w:bidi w:val="0"/>
        <w:spacing w:before="240" w:after="0"/>
        <w:jc w:val="left"/>
        <w:rPr>
          <w:rFonts w:ascii="Times New Roman" w:hAnsi="Times New Roman"/>
          <w:sz w:val="20"/>
        </w:rPr>
      </w:pPr>
      <w:r>
        <w:rPr>
          <w:rFonts w:ascii="Times New Roman" w:hAnsi="Times New Roman"/>
          <w:i/>
          <w:sz w:val="20"/>
        </w:rPr>
        <w:t>Dispute Resolution</w:t>
      </w:r>
      <w:r>
        <w:rPr>
          <w:rFonts w:ascii="Times New Roman" w:hAnsi="Times New Roman"/>
          <w:sz w:val="20"/>
        </w:rPr>
        <w:t xml:space="preserve">. Subject to certain exceptions, if a dispute arises with WDC out of, in connection with, or in relation to the separation and distribution agreement or any ancillary agreement or the transactions contemplated thereby, then such representatives, as the parties may designate, will negotiate to resolve any disputes for a period of time not exceeding thirty (30) days. If the parties are unable to resolve the dispute in this manner, either party may demand that the dispute be brought and determined exclusively in the Delaware Court of Chancery and any state appellate court therefrom within the State of Delaware for final determination. </w:t>
      </w:r>
    </w:p>
    <w:p>
      <w:pPr>
        <w:pStyle w:val="TextBody"/>
        <w:bidi w:val="0"/>
        <w:spacing w:before="240" w:after="0"/>
        <w:jc w:val="left"/>
        <w:rPr>
          <w:rFonts w:ascii="Times New Roman" w:hAnsi="Times New Roman"/>
          <w:sz w:val="20"/>
        </w:rPr>
      </w:pPr>
      <w:r>
        <w:rPr>
          <w:rFonts w:ascii="Times New Roman" w:hAnsi="Times New Roman"/>
          <w:i/>
          <w:sz w:val="20"/>
        </w:rPr>
        <w:t>Other Matters Governed by the Separation and Distribution Agreement</w:t>
      </w:r>
      <w:r>
        <w:rPr>
          <w:rFonts w:ascii="Times New Roman" w:hAnsi="Times New Roman"/>
          <w:sz w:val="20"/>
        </w:rPr>
        <w:t xml:space="preserve">. Other matters governed by the separation and distribution agreement include access to information, confidentiality, treatment of shared contracts, any transfers to be completed following the distribution and the receipt of any related third-party consents, access to insurance policies and treatment of outstanding guarantees.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WDC and Sandisk entered into a transition services agreement (the TSA) which governs the provision of transition services from WDC to Sandisk and from Sandisk to WDC, in each case, for a transitional period after the closing of the spin-off to provide for an ordinary transition in connection with the spin-off. The TSA specifies the terms under which the transition services are provided, including the services standard, fees and allocation of risk, and contains mechanisms for adding, extending and terminating services as well as for governance and dispute resolution. The charges for such services are generally intended to allow the service provider to recover its direct and indirect costs, generally without profit. Services are anticipated to be provided in the following areas: (i) quality assurance, (ii) procurement, (iii) information technology, (iv) logistics management, (v) finance, (vi) human resources, (vii) engineering, (viii) corporate marketing, (ix) central operations, (x) sales operations, (xi) manufacturing and (xii) research and development. The term of such services is expected to be no longer than eighteen (18)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spin-off, WDC and Sandisk entered into a tax matters agreement that governs the parties respective rights, responsibilities and obligations with respect to tax liabilities and benefits, tax attributes, the preparation and filing of tax returns, the control of audits and other tax proceedings and other matters regarding taxes.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provides special rules that allocate tax liabilities in the event the distribution or certain related transactions fails to qualify as transactions that are tax-free for U.S. federal income tax purposes (other than any cash that WDC stockholders receive in lieu of fractional shares). Under the tax matters agreement, Sandisk generally agreed to indemnify WDC and its affiliates against any and all tax-related liabilities incurred by them relating to the distribution and certain related transactions, to the extent caused by any representation by Sandisk being incorrect or an acquisition of our stock or assets or by any other action undertaken or by failure to act by Sandisk. This indemnification applies even if WDC has permitted Sandisk to take an action that would otherwise have been prohibited under the tax-related covenants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tax matters agreement, Sandisk agreed to certain covenants that contain restrictions intended to preserve the tax-free status of the distribution and certain related transactions. Sandisk may take certain actions prohibited by these covenants only if Sandisk obtains and provides to WDC an opinion from a U.S. tax counsel or accountant of recognized national standing or a favorable private letter ruling from a taxing authority, in each case satisfactory to WDC, to the effect that such action would not affect the tax-free status of these transactions, or if Sandisk obtains prior written consent of WDC, in its sole and absolute discretion, waiving such requirement. Sandisk is barred from taking any action, or failing to take any action, including any action or failure to take any action that would be inconsistent with the Tax Opinion, where such action or failure to take any action adversely affects the tax-free status of these transactions. In addition, during the period ending two years after the date of the distribution, these covenants include specific restrictions on Sandisk: (i) discontinuing the active conduct of Sandisks trade or business; (ii) issuance or sale of stock or other securities (including securities convertible into Sandisk stock, but excluding certain compensatory arrangements); (iii) liquidating, merging or consolidating with any other person; (iv) amending Sandisks charter (or other organizational documents) or taking any other action, whether through a stockholder vote or otherwise, affecting the voting rights of Sandisk common stock; (v) sales of assets outside the ordinary course of business; and (vi) entering into any other corporate transaction which would cause Sandisk to undergo a 50% or greater change in its stock ownership or otherwise be expected to result in the failure to preserve the tax-free treatment of these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WDC and Sandisk entered into an employee matters agreement in connection with the spin-off to allocate liabilities and responsibilities relating to employment matters, employee compensation and benefit plans and programs and other related matters. The employee matters agreement also sets forth the general principles relating to employee matters both with respect to domestic and international employees, including with respect to collective bargaining agreements, workers compensation, payroll matters, regulatory filings, paid time off, commencing or continuing participation in employee benefit plans, and the sharing of employee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provides that, unless otherwise specified, each party assumes or retains, as applicable, liabilities arising out of or in connection with the employment or termination of the employees identified as WDC or Sandisk employees, as applicable, including under any employee benefit plans, whether arising before or after the distribution. Additionally, subject to certain exceptions, upon the distribution, each party has caused or will cause, as applicable, the employees identified as WDC or Sandisk employees, as applicable, to commence or continue participation in employee benefit plans, similar to those in effect on or prior to the date of the distribution and will recognize prior years of service with WDC and related entities. </w:t>
      </w:r>
    </w:p>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also governs the treatment of equity-based awards granted by WDC prior to the distribution and the treatment of WDCs employee stock purchase plan. </w:t>
      </w:r>
    </w:p>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also contemplates cash transaction bonus payments in an aggregate amount of $39 million that is payable in connection with the spin-off to certain Sandisk employees in positions of vice president and above, which cash payments for each eligible individual are based on a number of months base salary, ranging from 12 months for vice president and equivalent titles to 24 months for executive vice presidents and Section 16 officers. The transaction bonus payments generally are subject to repayment terms for 12 months following the separation in the event of specified termination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IP Cross-License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WDC and Sandisk entered into an IP Cross-License Agreement (the IPCLA) to facilitate freedom-to-operate with respect to non-trademark intellectual property for each company post-spin. WDC granted a non-exclusive, worldwide, royalty-free, perpetual license to Sandisk (with respect to retained non-trademark intellectual property held by WDC) within a specified field of use, and Sandisk granted a non-exclusive, worldwide, royalty-free, perpetual license to WDC (with respect to divested non-trademark intellectual property held by Sandisk) within a specified field of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Transitional Trademark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WDC and Sandisk entered into a Transitional Trademark License Agreement (the TTLA), pursuant to which WDC granted a non-exclusive, worldwide, non-transferable, license to Sandisk (with respect to certain retained trademarks held by WDC), and Sandisk granted a non-exclusive, worldwide, non-transferable, license to WDC (with respect to certain divested trademarks held by Sandisk). These licenses allow each company to rebrand, as necessary, and transition away from the other companys owned trademarks post-spin, for a specified, limited transitional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and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WDC and Sandisk entered into a stockholders and registration rights agreement (the SRRA), pursuant to which Sandisk agreed that, upon the request of WDC, Sandisk will use its reasonable best efforts to effect the registration under applicable federal and state securities laws of any shares of Sandisk common stock retained by WDC. Under the SRRA, Sandisk also agreed to use its reasonable best efforts to effect a shelf registration on Form S-1 for all shares of our common stock retained by WDC within thirty (30) days of the date of the spin-off. In addition, WDC agreed to vote any shares of Sandisk common stock that it retains immediately after the separation in proportion to the votes cast by our other stockholders. In connection with such agreement, WDC granted Sandisk a proxy to vote its shares of Sandisk common stock in such proportion. This proxy, however, will be automatically revoked as to any particular share upon any sale or transfer of such share from WDC to a person other than WDC, and neither the SRRA nor proxy will limit or prohibit any such sale or transfer. </w:t>
      </w:r>
    </w:p>
    <w:p>
      <w:pPr>
        <w:pStyle w:val="TextBody"/>
        <w:bidi w:val="0"/>
        <w:spacing w:before="240" w:after="0"/>
        <w:jc w:val="left"/>
        <w:rPr>
          <w:rFonts w:ascii="Times New Roman" w:hAnsi="Times New Roman"/>
          <w:sz w:val="20"/>
        </w:rPr>
      </w:pPr>
      <w:r>
        <w:rPr>
          <w:rFonts w:ascii="Times New Roman" w:hAnsi="Times New Roman"/>
          <w:sz w:val="20"/>
        </w:rPr>
        <w:t xml:space="preserve">Sandisk is registering on a registration statement on Form S-1, of which this prospectus forms a part, the shares of our common stock retained by WDC pursuant to its obligations under the SRRA.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above, we have not had any related person transaction since our formation on February 5, 2024 in connection with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Approval of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Sandisk Board of Directors has established a Related Person Transaction Policy. The purpose of this policy is to describe the procedures used to identify, review, approve and disclose, if necessary, any transaction, arrangement or relationship (or any series of similar transactions, arrangements or relationships) in which: (i) Sandisk was, is or will be a participant; (ii) the aggregate amount involved exceeds or is expected to exceed $120,000 in any fiscal year; and (iii) a related person has or will have a direct or indirect material interest. For purposes of the policy, a related person is: (i) any person who is, or at any time since the beginning of our last fiscal year was, one of our directors or executive officers or a nominee to become a director; (ii) any person who is known to be the beneficial owner of more than 5% of our common stock (or any other class of voting securities); or (iii) any immediate family member of any of the foregoing persons.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once a related person transaction has been identified, the Audit Committee will review the transaction for approval or ratification. In determining whether to approve or ratify a related person transaction, the committee is to consider all relevant facts and circumstances of the related person transaction available to the committee. The committee may approve only those related person transactions that are in, or not inconsistent with, our best interests and the best interests of our stockholders, as the committee determines in good faith. No member of the committee will participate in any consideration of a related party transaction with respect to which that member or any member of his or her immediate family is a related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34557_17"/>
      <w:bookmarkEnd w:id="19"/>
      <w:r>
        <w:rPr>
          <w:rFonts w:ascii="Times New Roman" w:hAnsi="Times New Roman"/>
          <w:b/>
          <w:sz w:val="20"/>
        </w:rPr>
        <w:t xml:space="preserve">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the material U.S. federal income considerations generally applicable to the ownership and disposition of our common stock by a Non-U.S. Holder (as defined below) that holds our common stock as a capital asset (generally, property held for investment). This discussion is based on the Code, U.S. Treasury regulations promulgated thereunder, judicial decisions, administrative pronouncements and other relevant applicable authorities, all as currently in effect as of the date hereof and all of which are subject to change or differing interpretations (possibly with retroactive effect). We have not sought and do not expect to seek any rulings from the IRS regarding the matters discussed below. There can be no assurance that the IRS will not take positions concerning the tax consequences of the ownership or disposition of shares of our common stock that differ from those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describe all of the tax consequences that may be applicable to Non-U.S. Holders in light of their particular circumstances, or Non-U.S. Holders subject to special treatment under U.S.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an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owning (directly or indirectly) 5% or more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does not address any U.S. state or local or non-U.S. tax considerations or any U.S. federal estate, gift, alternative minimum tax or Medicare contribution tax considerations. Non-U.S. Holders should consult their tax advisors regarding the particular tax considerations to them of owning and disposing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the term Non-U.S. Holder means a beneficial owner of our common stock that is not, for U.S. federal income tax purposes, a partnership (or entity or arrangement treated as a partnership) or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that is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(A) if a court within the United States is able to exercise primary supervision over its administration and one or more United States persons (within the meaning of Section 7701(a)(30)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Code) have the authority to control all substantial decisions of such trust, or (B) that has made a valid election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partnership or other pass-through entity for U.S. federal income tax purposes) holds our common stock, the tax treatment of a partner or beneficial owner of the entity will generally depend on the status of the partner or beneficial owner and the activities of the entity. Partners in a partnership (or beneficial owners of another entity treated as a partnership or other pass-through entity for U.S. federal income tax purposes) should consult their tax advisors regarding the tax considerations of an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captioned Dividend Policy, we do not anticipate paying dividends to holders of our common stock in the foreseeable future. </w:t>
      </w:r>
    </w:p>
    <w:p>
      <w:pPr>
        <w:pStyle w:val="TextBody"/>
        <w:bidi w:val="0"/>
        <w:spacing w:before="240" w:after="0"/>
        <w:jc w:val="left"/>
        <w:rPr>
          <w:rFonts w:ascii="Times New Roman" w:hAnsi="Times New Roman"/>
          <w:sz w:val="20"/>
        </w:rPr>
      </w:pPr>
      <w:r>
        <w:rPr>
          <w:rFonts w:ascii="Times New Roman" w:hAnsi="Times New Roman"/>
          <w:sz w:val="20"/>
        </w:rPr>
        <w:t>In the event that we make distributions on our common stock, such distributions will generally be treated as dividends to the extent paid from our current or accumulated earnings and profits (as determined under U.S. federal income tax principles). If a distribution exceeds our current and accumulated earnings and profits (as determined under U.S. federal income tax principles), the excess will be treated first as a return of capital to the extent of a Non-U.S. Holders adjusted tax basis in our common stock and thereafter as capital gain from the sale or exchange of our common stock, with the tax treatment described below in </w:t>
      </w:r>
      <w:r>
        <w:rPr>
          <w:rFonts w:ascii="Times New Roman" w:hAnsi="Times New Roman"/>
          <w:i/>
          <w:sz w:val="20"/>
        </w:rPr>
        <w:t>Sale, Exchange or Other Disposition of Our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treated as dividends paid on our common stock to a Non-U.S. Holder will generally be subject to U.S. federal withholding tax at a 30% rate of the gross amount of the dividends, or a reduced rate specified by an applicable income tax treaty. In order to obtain a reduced rate of withholding under an applicable income tax treaty, a Non-U.S. Holder will generally be required to provide a properly executed IRS Form W-8BEN or IRS Form W-8BEN-E, as applicable, certifying its entitlement to benefits under the treaty. A Non-U.S. Holder eligible for a reduced rate of U.S. federal withholding tax pursuant to an income tax treaty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Subject to the discussion below under </w:t>
      </w:r>
      <w:r>
        <w:rPr>
          <w:rFonts w:ascii="Times New Roman" w:hAnsi="Times New Roman"/>
          <w:i/>
          <w:sz w:val="20"/>
        </w:rPr>
        <w:t>FATCA</w:t>
      </w:r>
      <w:r>
        <w:rPr>
          <w:rFonts w:ascii="Times New Roman" w:hAnsi="Times New Roman"/>
          <w:sz w:val="20"/>
        </w:rPr>
        <w:t xml:space="preserve">, no amounts in respect of U.S. federal withholding tax will be withheld from dividends paid to a Non-U.S. Holder if the dividends are effectively connected with such Non-U.S. Holders conduct of a trade or business within the United States (and, if required by an applicable income tax treaty, are attributable to a permanent establishment or fixed base maintained by such Non-U.S. Holder in the United States) and the Non-U.S. Holder provides a properly executed IRS Form W-8ECI. Instead, the effectively connected dividends will generally be subject to regular U.S. income tax on a net income basis as if the Non-U.S. Holder were a U.S. person as defined under the Code. A Non-U.S. Holder that is a treated as a corporation for U.S. federal income tax purposes receiving effectively connected dividends may also be subject to an additional branch profits tax imposed at a rate of 30% (or a lower treaty rate) on its effectively connected earnings and profits (subject to certain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U.S. federal income tax on gain realized on a sale, exchange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gain is effectively connected with a trade or business conducted by such Non-U.S. Holder in the United States (and, if required by an applicable income tax treaty, is attributable to a permanent establishment maintained by such Non-U.S. Holder in the United States), in which case such gain will generally be subject to U.S. federal income tax in the same manner as effectively connected dividend income as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Non-U.S. Holder is an individual present in the United States for 183 days or more in the taxable year of disposition and certain other conditions are met, in which case such gain will generally be subject to U.S. federal income tax at a rate of 30% (or a lower treaty rate), which gain may be offset by certain U.S.-source capital losses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become a United States real property holding corporation (as defined in section 897(c) of the Code, a USRPHC), at any time within the shorter of the five-year period preceding the disposition or the Non-U.S. Holders holding period, and either (i) our common stock is not regularly traded on an established securities market prior to the beginning of the calendar year in which the sale or disposition occurs, or (ii) the Non-U.S. Holder has owned or is deemed to have owned, at any time within the shorter of the five-year period preceding the disposition or the Non-U.S. Holders holding period, more than 5%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there can be no assurances in this regard, we believe that we are not a USRPHC and we do not anticipate becoming a USRPHC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Certain rules may require withholding at a rate of 30% on dividends in respect of our common stock held by or through certain foreign financial institutions (including investment funds), unless such institution (i) enters into, and complies with, an agreement with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IRS. Non-U.S. Holders should consult their tax advisors regarding the possible implications of this withholding tax on their investment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 PURPOSES ONLY AND IS NOT INTENDED AS TAX ADVICE. INVESTORS SHOULD CONSULT THEIR OWN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34557_18"/>
      <w:bookmarkEnd w:id="20"/>
      <w:r>
        <w:rPr>
          <w:rFonts w:ascii="Times New Roman" w:hAnsi="Times New Roman"/>
          <w:b/>
          <w:sz w:val="20"/>
        </w:rPr>
        <w:t xml:space="preserve">DESCRIPTION OF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material agreements described below are filed as exhibits to the registration statement on Form S-1 of which this prospectus forms a part. The summaries of each of these agreements set forth below are qualified in their entireties by reference to the full text of the applicable agreements, which are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Sandisk entered into the Loan Agreement. The Loan Agreement comprises the Facilities. The Term Loan Facility bears interest, at Sandisks option, at (x) the Adjusted Term SOFR Rate (as defined in the Loan Agreement) plus an interest rate margin of 3.00% per annum or (y) a base rate plus an interest rate margin of 2.00% per annum. The Term Loan Facility will mature on February 21, 2032, and amortizes at 1.00% per annum.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Revolving Credit Facility, for U.S. dollar borrowings, bear interest, at Sandisks option, at (x) the Adjusted Term SOFR Rate (as defined in the Loan Agreement), which rate includes a credit spread adjustment of 0.10%, plus an interest rate margin of 2.00% per annum (subject to step-ups based on Sandisks Leverage Ratio (as defined in the Loan Agreement)), or (y) a base rate plus an interest rate margin of 1.00% per annum (subject to step-ups based on Sandisks Leverage Ratio (as defined in the Loan Agreement)). Sandisk will pay a commitment fee of 0.30% per annum (subject to step-ups based on Sandisks Leverage Ratio (as defined in the Loan Agreement)) in respect of undrawn revolving commitments under the Revolving Credit Facility. The Revolving Credit Facility also provides for borrowings in Euros, Yen and additional currencies agreed to by the lenders under the Revolving Credit Facility. The Revolving Credit Facility will mature on February 21, 2030, at which time the commitments thereunder shall be terminated, and will not have any amortization.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Loan Agreement are guaranteed by Sandisks wholly owned subsidiary, Sandisk Technologies, Inc. (SDT) and are required to be guaranteed by any of Sandisks future material U.S. wholly owned subsidiaries, subject to certain exceptions as outlined in the Loan Agreement. The obligations under the Loan Agreement are secured by Sandisks assets and SDTs assets and are required to be secured by the assets of any of our future material U.S. wholly owned subsidiaries, subject, in each case, to certain exceptions outlined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includes certain restrictions (subject to certain exceptions outlined in the Loan Agreement) on the ability of Sandisk and its subsidiaries to undertake certain activities, including to incur indebtedness and liens, merge or consolidate with other entities, dispose or transfer their assets, pay dividends or make distributions, make investments, make payments on junior or subordinated debt, enter into burdensome agreements or transact with affiliates. The Loan Agreement also includes a financial covenant, which is solely for the benefit of the lenders under the Revolving Credit Facility, that requires Sandisk to maintain a maximum Leverage Ratio (as defined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Sandisk borrowed $2.0 billion under its Term Loan Facility. Sandisk used a portion of the proceeds of the borrowing to pay a dividend to WDC in the amount of approximately $1.5 billion, with the remainder to be used for general corporate purposes of Sandisk. The Revolving Credit Facility may be borrowed by Sandisk from time to time for general corporate purposes. There were no amounts outstanding as of April 30, 2025 under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Loan Agreement, Sandisk and SDT entered into a security agreement (the Security Agreement), to secure the obligations under the Facilities on a first-priority basis (subject to permitted liens) by a lien on substantially all the assets and properties of Sandisk and SDT,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Loan Agreement, Sandisk (solely with respect to obligations of any additional Borrower under the Loan Agreement) and SDT entered into a guaranty agreement (the Guaranty Agreement) to secure and unconditionally guarantee the obligations under the Loan Agreement, respectively, in each case subject to certain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34557_19"/>
      <w:bookmarkEnd w:id="21"/>
      <w:r>
        <w:rPr>
          <w:rFonts w:ascii="Times New Roman" w:hAnsi="Times New Roman"/>
          <w:b/>
          <w:sz w:val="20"/>
        </w:rPr>
        <w:t xml:space="preserve">PRINCIPAL AND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April 18, 2025 regarding the beneficial ownership of shares of our common stock (1) immediately prior to and (2) as adjusted to give effect to this offering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known by us to be a beneficial owner of more than 5% of shares of our common stock (including the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our directors and executive officers, taken together.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held by the selling stockholder reflected in the table below may be sold by the selling stockholder from time to time in one or more offerings described in this prospectus and the applicable prospectus supplement. Because the selling stockholder may offer all or any portion of the shares listed in the table below, no estimate can be given as to the amount of shares covered by this prospectus that will be held by the selling stockholder upon the termination of any offering; however, WDC may experience adverse tax consequences if all of the shares of our common stock it holds are not disposed of by February 21, 2026 (12 months from the date of the distribution). For purposes of the table below, we have assumed all of the shares to be registered on this registration statement on Form S-1, of which this prospectus is a part, are sold in one offering. We will update the below table in the applicable prospectus supplement for any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Owners and Our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reports the number of shares of our common stock that we believe are beneficially owned by each person who is believed to beneficially own more than 5% of our common stock. The table is based in part upon information available as of the dates indicated as to those persons who beneficially own more than 5% of WDC common stock as reported to the SEC.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business address of each director and executive officer shown in the table below is 951 Sandisk Drive, Milpitas, California 95035. None of our directors or executive officers owns one percent or more of our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6"/>
        <w:gridCol w:w="103"/>
        <w:gridCol w:w="82"/>
        <w:gridCol w:w="1521"/>
        <w:gridCol w:w="60"/>
        <w:gridCol w:w="103"/>
        <w:gridCol w:w="133"/>
        <w:gridCol w:w="989"/>
        <w:gridCol w:w="275"/>
        <w:gridCol w:w="103"/>
        <w:gridCol w:w="82"/>
        <w:gridCol w:w="1521"/>
        <w:gridCol w:w="60"/>
        <w:gridCol w:w="103"/>
        <w:gridCol w:w="133"/>
        <w:gridCol w:w="988"/>
        <w:gridCol w:w="283"/>
      </w:tblGrid>
      <w:tr>
        <w:trPr/>
        <w:tc>
          <w:tcPr>
            <w:tcW w:w="366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8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Prior to the Offering</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8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283"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03"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Sandisk</w:t>
              <w:br/>
              <w:t>Common Stock</w:t>
              <w:br/>
              <w:t>Beneficially</w:t>
              <w:br/>
              <w:t>Owned(4)</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Class</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Sandisk</w:t>
              <w:br/>
              <w:t>Common Stock</w:t>
              <w:br/>
              <w:t>Beneficially</w:t>
              <w:br/>
              <w:t>Owned(4)</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Class</w:t>
            </w:r>
          </w:p>
        </w:tc>
        <w:tc>
          <w:tcPr>
            <w:tcW w:w="28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Greater than 5% Stockholders</w:t>
            </w:r>
            <w:r>
              <w:rPr>
                <w:rFonts w:ascii="Times New Roman" w:hAnsi="Times New Roman"/>
                <w:sz w:val="20"/>
              </w:rPr>
              <w:t>:</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5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5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Western Digital Corporation, 5601 Great Oaks Parkway, San Jose, CA 95119</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28,827,787</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19.9</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100 Vanguard Blvd., Malvern, PA 19355(1)</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13,684,572</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9.44</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13,684,572</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9.44</w:t>
            </w:r>
          </w:p>
        </w:tc>
        <w:tc>
          <w:tcPr>
            <w:tcW w:w="283"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 50 Hudson Yards, New York, NY 10001(2)</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13,428,688</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13,428,688</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9.3</w:t>
            </w:r>
          </w:p>
        </w:tc>
        <w:tc>
          <w:tcPr>
            <w:tcW w:w="28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FMR LLC, 245 Summer Street, Boston, MA 02210(3)</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12,263,600</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8.5</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12,263,600</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8.5</w:t>
            </w:r>
          </w:p>
        </w:tc>
        <w:tc>
          <w:tcPr>
            <w:tcW w:w="283"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b/>
                <w:sz w:val="20"/>
              </w:rPr>
              <w:t>Directors and Named Executive Officers</w:t>
            </w:r>
            <w:r>
              <w:rPr>
                <w:rFonts w:ascii="Times New Roman" w:hAnsi="Times New Roman"/>
                <w:sz w:val="20"/>
              </w:rPr>
              <w:t>:</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sz w:val="4"/>
                <w:szCs w:val="4"/>
              </w:rPr>
            </w:pPr>
            <w:r>
              <w:rPr>
                <w:sz w:val="4"/>
                <w:szCs w:val="4"/>
              </w:rPr>
            </w:r>
          </w:p>
        </w:tc>
        <w:tc>
          <w:tcPr>
            <w:tcW w:w="15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sz w:val="4"/>
                <w:szCs w:val="4"/>
              </w:rPr>
            </w:pPr>
            <w:r>
              <w:rPr>
                <w:sz w:val="4"/>
                <w:szCs w:val="4"/>
              </w:rPr>
            </w:r>
          </w:p>
        </w:tc>
        <w:tc>
          <w:tcPr>
            <w:tcW w:w="15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V. Goeckeler</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190,027</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190,027</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Kimberly E. Alexy(5)</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8,574</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8,574</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B. Cassidy</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Thomas Caulfield</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5,992</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5,992</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Devinder Kumar</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Matthew E. Massengill(6)</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12,474</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12,474</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Necip Sayiner</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630"/>
        <w:gridCol w:w="226"/>
        <w:gridCol w:w="111"/>
        <w:gridCol w:w="1487"/>
        <w:gridCol w:w="60"/>
        <w:gridCol w:w="226"/>
        <w:gridCol w:w="334"/>
        <w:gridCol w:w="781"/>
        <w:gridCol w:w="60"/>
        <w:gridCol w:w="226"/>
        <w:gridCol w:w="111"/>
        <w:gridCol w:w="1487"/>
        <w:gridCol w:w="60"/>
        <w:gridCol w:w="225"/>
        <w:gridCol w:w="334"/>
        <w:gridCol w:w="781"/>
        <w:gridCol w:w="66"/>
      </w:tblGrid>
      <w:tr>
        <w:trPr/>
        <w:tc>
          <w:tcPr>
            <w:tcW w:w="363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3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9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Prior to the Offering</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9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66" w:type="dxa"/>
            <w:tcBorders/>
            <w:vAlign w:val="bottom"/>
          </w:tcPr>
          <w:p>
            <w:pPr>
              <w:pStyle w:val="TableContents"/>
              <w:bidi w:val="0"/>
              <w:spacing w:before="0" w:after="283"/>
              <w:jc w:val="left"/>
              <w:rPr/>
            </w:pPr>
            <w:r>
              <w:rPr/>
              <w:t> </w:t>
            </w:r>
          </w:p>
        </w:tc>
      </w:tr>
      <w:tr>
        <w:trPr/>
        <w:tc>
          <w:tcPr>
            <w:tcW w:w="36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226"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Sandisk</w:t>
              <w:br/>
              <w:t>Common Stock</w:t>
              <w:br/>
              <w:t>Beneficially</w:t>
              <w:br/>
              <w:t>Owned(4)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Class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Sandisk</w:t>
              <w:br/>
              <w:t>Common Stock</w:t>
              <w:br/>
              <w:t>Beneficially</w:t>
              <w:br/>
              <w:t>Owned(4)</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Class</w:t>
            </w:r>
          </w:p>
        </w:tc>
        <w:tc>
          <w:tcPr>
            <w:tcW w:w="66"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Ellyn J. Shook</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Miyuki Suzuki</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4,800</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4,800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Current Executive Officers as a group (12 persons)</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236,484</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236,484</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contained in a Schedule 13G filed with the SEC on April 30, 2025, by The Vanguard Group. According to the schedule, as of March 31, 2025, Vanguard has shared voting power with respect to 55,917 shares of Sandisk common stock, sole dispositive power with respect to 13,377,653 shares of Sandisk common stock and shared dispositive power with respect to 306,919 shares of Sandisk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contained in a Schedule 13G/A filed with the SEC on April 17, 2025, by BlackRock, Inc. According to the schedule, as of March 31, 2025, BlackRock has sole voting power with respect to 13,047,835 shares of Sandisk common stock and sole dispositive power with respect to 13,428,688 shares of Sandisk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contained in a Schedule 13G filed with the SEC on March 7, 2025, by FMR LLC. According to the schedule, as of February 28, 2025, FMR LLC has sole voting power with respect to 11,733,189.79 shares of Sandisk common stock and sole dispositive power with respect to 12,263,599.73 shares of Sandisk common stock and Abigail P. Johnson has sole dispositive power with respect to 12,263,599.73 shares of Sandisk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shows beneficial ownership of Company common stock as calculated under SEC rules. This column also includes shares of Company common stock that such persons have the right to acquire beneficial ownership as of April 18, 2025 or within 60 days thereafter as follows: Mr. Goeckeler: 7,763 shares, Mr. Ilkbahar: 4,675 shares and Mr. Shek: 889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Alexys Sandisk shares are held in a family trust account in which Ms. Alexy has voting and/or investment power.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held in a family trust account in which Mr. Massengill has voting and/or investment power.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34557_20"/>
      <w:bookmarkEnd w:id="22"/>
      <w:r>
        <w:rPr>
          <w:rFonts w:ascii="Times New Roman" w:hAnsi="Times New Roman"/>
          <w:b/>
          <w:sz w:val="20"/>
        </w:rPr>
        <w:t xml:space="preserve">DESCRIPTION OF SANDISK CORPORATION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Our certificate of incorporation and bylaws were amended and restated prior to the distribution. The following descriptions are summaries of the material terms of our current certificate of incorporation and our current bylaws that went in effect at the time of the distribution. These descriptions contain all information which we consider to be material but may not contain all of the information that is important to you. The summaries and descriptions below do not purport to be complete statements of the relevant provisions of our certificate of incorporation or of our bylaws and are qualified by reference to Delaware statutory and common law and the full texts of such documents. The summary is qualified in its entirety by reference to these documents, which you should read (along with the applicable provisions of Delaware law) for complete information on our capital stock. Our certificate of incorporation and our bylaws are included as exhibits to the registration statement on Form S-1,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450,000,000 shares of common stock, par value $0.01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of preferred stock, par value $0.01 per share. </w:t>
            </w:r>
          </w:p>
        </w:tc>
      </w:tr>
    </w:tbl>
    <w:p>
      <w:pPr>
        <w:pStyle w:val="TextBody"/>
        <w:bidi w:val="0"/>
        <w:spacing w:before="240" w:after="0"/>
        <w:jc w:val="left"/>
        <w:rPr>
          <w:rFonts w:ascii="Times New Roman" w:hAnsi="Times New Roman"/>
          <w:sz w:val="20"/>
        </w:rPr>
      </w:pPr>
      <w:r>
        <w:rPr>
          <w:rFonts w:ascii="Times New Roman" w:hAnsi="Times New Roman"/>
          <w:sz w:val="20"/>
        </w:rPr>
        <w:t>As of April 30, 2025, 145,299,218 shares of our common stock were issued and outstanding and no shares of our preferred stock were issued and outstanding. The outstanding shares of common stock are duly authorized, validly issued, fully paid and non-assessable.</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relative rights, limitations and preferences of the holders of any then outstanding preferred stock, holders of our common stock are entitled to certain rights, including (i) to share ratably in dividends if, when and as declared by our Board of Directors out of funds legally available therefor and (ii) in the event of liquidation, dissolution or winding up of the Company, to share ratably in the distribution of assets legally available therefor, after payment of debts and expenses. Each outstanding share of our common stock entitles the holder to one vote on all matters submitted to a vote of the stockholders, including the election of directors, and the holders of shares of our common stock and our preferred stock (if any), collectively, possess the exclusive voting power. The holders of our common stock do not have cumulative voting rights in the election of directors or preemptive rights to subscribe for additional shares of our capital stock. Our bylaws require that, in uncontested elections, each director be elected by the majority of votes cast with respect to such director. This means that the number of shares voted for a director nominee must exceed the number of votes cast against that nominee in order for that nominee to be elected.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common stock have no preference, conversion, exchange, sinking fund, redemption or appraisal rights. The rights, preferences and privileges of holders of our common stock are subject to the terms of any series of preferred stock which Sandisk may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within the limitations and restrictions that are stated in our certificate of incorporation, to authorize the issuance of shares of our preferred stock, in one or more classes or series, and to fix the rights, preferences, privileges and restrictions thereof, including dividend rights, conversion rights, voting rights, terms of redemption, liquidation preferences, preemptive rights and the number of shares constituting any series or the designation of such series. The issuance of our preferred stock could have the effect of decreasing the market price of our common stock and could adversely affect the voting and other rights of the holders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include provisions, summarized below, that are intended to discourage and prevent coercive takeover practices and inadequate takeover bids. These provisions are designed to encourage persons seeking to acquire control of the Company to first negotiate with our Board of Directors. They also are intended to provide our management with the flexibility to enhance the likelihood of continuity and stability if our Board of Directors determines that a takeover is not in the best interests of our stockholders. These provisions, however, could have the effect of discouraging others from making tender offers for our shares and may have the effect of deterring hostile takeovers or delaying changes in our control or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only our Board of Directors, the Chair of the Board or our Chief Executive Officer may call special meetings of stockholders. Stockholders do not have the authority to call a special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our stockholders must comply with advance notice procedures to bring business before or nominate directors for election at a meeting of stockholders. A stockholder (or group of up to 20 stockholders) who has held at least 3% of our common stock for at least three years must also satisfy and comply with additional requirements that are set forth in our bylaws to nominate and have any director nominee (generally not exceeding the greater of (i) two director nominees or (ii) 20% of the number of directors on our Board of Directors, rounded down to the nearest whole number) included in our proxy materials.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DGCL permits stockholder action by written consent unless the corporations certificate of incorporation provides otherwise. Our certificate of incorporation eliminates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cumulative voting for the election of directors is not permitted unless a corporations certificate of incorporation authorizes cumulative voting. Our certificate of incorporation and our current bylaws do not provide for cumulative voting in the election of directors. The absence of cumulative voting makes it more difficult for a minority stockholder to gain a seat on our Board of Directors to influence our Board of Directors decision regarding a takeover.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requirements of Nasdaq and other applicable law, authorized but unissued shares of our common stock may be available for future issuance without stockholders approval. Sandisk may use these additional shares for a variety of corporate purposes, including future public offerings to raise additional capital, corporate acquisitions and employee benefit plans. The existence of authorized but unissued shares of our common stock could render more difficult or discourage an attempt to obtain control of Sandisk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Provisions in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our certificate of incorporation may be amended in accordance with Delaware law. Our bylaws provide that our bylaws, or any of them, may be altered, amended or repealed,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bylaws may be adopted, (i) by our Board of Directors, by vote of a majority of the number of directors then in office as directors, acting at any duly called and held meeting of our Board of Directors, or (ii) by the stockholders; </w:t>
      </w:r>
      <w:r>
        <w:rPr>
          <w:rFonts w:ascii="Times New Roman" w:hAnsi="Times New Roman"/>
          <w:i/>
          <w:sz w:val="20"/>
        </w:rPr>
        <w:t xml:space="preserve">provided </w:t>
      </w:r>
      <w:r>
        <w:rPr>
          <w:rFonts w:ascii="Times New Roman" w:hAnsi="Times New Roman"/>
          <w:sz w:val="20"/>
        </w:rPr>
        <w:t xml:space="preserve">that a notice of such proposed amendment, modification, repeal or adoption is given in the notice of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Sandisk Corporation is subject to Section 203 of the DGCL, which is an anti-takeover law. In general, Section 203 prohibits a publicly 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 Generally, an interested stockholder is a person who, together with affiliates and associates, owns 15% or more of the corporations voting stock.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Sandisk consents in writing to the selection of an alternative forum, (i) any derivative action or proceeding brought on our behalf, (ii) any action asserting a claim of breach of a fiduciary duty owed by any of our current or former directors, officers, other employees or stockholders to Sandisk or its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 of the State of Delaware will, to the fullest extent permitted by law, be exclusively brought in the Court of Chancery of the State of Delaware or, if such court does not have subject matter jurisdiction thereof, the federal district court of the State of Delaware (the Delaware Exclusive Forum Provision). In addition, our certificate of incorporation provides that, unless Sandisk consents in writing to the selection of an alternative forum, the federal district courts of the United States will be the exclusive forum for the resolution of any complaint asserting a cause of action arising under the Securities Act (the Federal Forum Provision). Our certificate of incorporation also provides that, to the fullest extent permitted by law, any person or entity purchasing or otherwise acquiring or holding any interest in shares of our capital stock is deemed to have notice of and consented to the Delaware Exclusive Forum Provision and the Federal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Delaware Exclusive Forum Provision is intended to apply to claims arising under Delaware state law and would not apply to claims brought pursuant to the Exchange Act, or the Securities Act, or any other claim for which the federal courts have exclusive jurisdiction. In addition, the Federal Forum Provision is intended to apply to claims arising under the Securities Act and would not apply to claims brought pursuant to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 The exclusive forum provisions that are provided in our certificate of incorporation do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are not deemed to have waived Sandisks compliance with these laws, rules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Director and Officer Liability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we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they are or were our director, officer, employee or agent, or are or were serving at our request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they acted in good faith and in a manner they reasonably believed to be in or not opposed to our best interests, and, with respect to any criminal action or proceeding, had no reasonable cause to believe their conduct was unlawful. In addition, Section 102(b)(7) of the DGCL provides that a certificate of incorporation may contain a provision eliminating or limiting the personal liability of a director or officer to the corporation or its shareholders for monetary damages for breach of fiduciary duty as a director or officer; </w:t>
      </w:r>
      <w:r>
        <w:rPr>
          <w:rFonts w:ascii="Times New Roman" w:hAnsi="Times New Roman"/>
          <w:i/>
          <w:sz w:val="20"/>
        </w:rPr>
        <w:t xml:space="preserve">provided </w:t>
      </w:r>
      <w:r>
        <w:rPr>
          <w:rFonts w:ascii="Times New Roman" w:hAnsi="Times New Roman"/>
          <w:sz w:val="20"/>
        </w:rPr>
        <w:t xml:space="preserve">that such provision shall not eliminate or limit the liability of a director or officer (i) for any breach of the directors or officers duty of loyalty to the corporation or its shareholders, (ii) for acts or omissions not in good faith or which involve intentional misconduct or a knowing violation of law, (iii) under Section 174 of the DGCL (relating to liability for unauthorized acquisitions or redemptions of, or dividends on, capital stock), (iv) for any transaction from which the director or officer derived an improper personal benefit, or (v) in any action by or in the right of the corporation (with respect to any officer only). Our certificate of incorporation contains the provisions permitted by Section 102(b)(7)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Sale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shares of our common stock is Equiniti Trust Company, LLC. The transfer agent and registrars address is 6201 15th Avenue, Brooklyn, NY 11219. </w:t>
      </w:r>
    </w:p>
    <w:p>
      <w:pPr>
        <w:pStyle w:val="TextBody"/>
        <w:bidi w:val="0"/>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SNDK.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934557_21"/>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offer, from time to time, shares of our common stock. We are registering such shares under the terms of a stockholders and registration rights agreement between us and the selling stockholder. We will not receive any of the proceeds from the sale of shares of our common stock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sell all or a portion of the shares of our common stock directly to purchasers or through underwriters, broker-dealers or agents, who may receive compensation in the form of discounts, concessions or commissions from the selling stockholders or the purchasers of the shares. These discounts, concessions or commissions as to any particular underwriter, broker-dealer or agent may be in excess of those customary in the types of transactions involved.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may be sold in one or more transactions on any national securities exchange or quotation service on which the shares may be listed or quoted at the time of sale, in the over-the-counter market or in transactions otherwise than on these exchanges or systems or in the over-the-counter market and in one or more transactions at fixed prices, at prevailing market prices at the time of sale, at varying prices determined at the time of sale or at negotiated prices. These sales may be effected in transactions, which may involve crosses or block transactions. Additionally, the selling stockholder may enter into derivative transactions with third parties, or sell securities not covered by this prospectus to third parties in privately negotiated transactions. The selling stockholder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shares may be listed or quoted at the time of sale, including, the Nasdaq in the case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services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the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debt-for-equity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securities that qualify for sale pursuant to Rule 144 or Regulation S under the Securities Act or under Section 4(1) under the Securities Act may be sold under such rules rather than pursuant to this prospectus or a prospectus supplement, subject to any restriction on transfer contained in the stockholder and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stockholder may enter into hedging transactions with broker-dealers, which may in turn engage in short sales of the shares of our common stock in the course of hedging the positions they assume. The selling stockholder may also short sell the shares and deliver common stock to close out short positions, or loan or pledge the shares to broker-dealers that in turn may sell these shares. The selling stockholder may also enter into option or other transactions with broker-dealers or other financial institutions or the creation of one or more derivative securities that require the delivery to such broker-dealer or other financial institution of shares offered by this prospectus and the applicable prospectus supplement, which shares such broker-dealer or other financial institution may resell pursuant to this prospectus and the applicable prospectus supplement. The selling stockholder also may transfer and donate the shares in other circumstances in which case the transferees, donees, pledgees or other successors in interest will be the selling beneficial owners for purposes of this prospectus and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 from the sale of the shares of our common stock will be the purchase price of the shares less discounts and commissions, if any. </w:t>
      </w:r>
    </w:p>
    <w:p>
      <w:pPr>
        <w:pStyle w:val="TextBody"/>
        <w:bidi w:val="0"/>
        <w:spacing w:before="240" w:after="0"/>
        <w:jc w:val="left"/>
        <w:rPr>
          <w:rFonts w:ascii="Times New Roman" w:hAnsi="Times New Roman"/>
          <w:sz w:val="20"/>
        </w:rPr>
      </w:pPr>
      <w:r>
        <w:rPr>
          <w:rFonts w:ascii="Times New Roman" w:hAnsi="Times New Roman"/>
          <w:sz w:val="20"/>
        </w:rPr>
        <w:t xml:space="preserve">For avoidance of doubt, notwithstanding the foregoing, WDC can only dispose of the shares of our common stock registered herein through (1) one or more exchanges of our common stock for WDC debt; and/or (2) distribution to holders of WDC common stock as dividends or in exchange for outstanding shares of WDC common stock. </w:t>
      </w:r>
    </w:p>
    <w:p>
      <w:pPr>
        <w:pStyle w:val="TextBody"/>
        <w:bidi w:val="0"/>
        <w:spacing w:before="240" w:after="0"/>
        <w:jc w:val="left"/>
        <w:rPr>
          <w:rFonts w:ascii="Times New Roman" w:hAnsi="Times New Roman"/>
          <w:sz w:val="20"/>
        </w:rPr>
      </w:pPr>
      <w:r>
        <w:rPr>
          <w:rFonts w:ascii="Times New Roman" w:hAnsi="Times New Roman"/>
          <w:sz w:val="20"/>
        </w:rPr>
        <w:t xml:space="preserve">WDC intends to dispose of the 28,827,787 shares of our common stock registered hereby through one or more exchanges of our common stock for WDC debt, unless it selects another method of distribution. WDC expects that any such debt-for-equity exchange would be effected to satisfy outstanding indebtedness under that certain Amended and Restated Loan Agreement, dated as of January 7, 2022, among WDC, JPMorgan Chase Bank, N.A., as administrative agent, and the lenders party thereto (as amended, the Credit Agreement), which governs WDCs $2.51 billion Term Loan A-3 and revolving credit facility maturing in January 2027. In any such debt-for-equity exchange, it is expected that it will enter into an exchange agreement with the debt exchange parties. Under the exchange agreement, subject to certain conditions, the debt exchange parties, as a principals for their own account, will exchange debt obligations of the selling stockholder held by the debt exchange parties for the shares of our common stock held by WDC. The terms and conditions with respect to any such debt-for-equity exchange will (i) be negotiated at arms length, (ii) allocate to the debt exchange parties any risk of loss with respect to the exchange of WDC debt and transfer of the common stock, and (iii) provide that any profit gained shall be solely for the debt exchange parties account and no such profit shall inure to the benefit of WDC, Sandisk or their respective affiliates. The amount of indebtedness of WDC held by the debt exchange parties is expected to be sufficient to acquire all of the shares of our common stock to be sold in any offering made in connection with a debt-for-equity exchange. Under federal securities laws, the debt exchange parties will be deemed to be underwriters with respect to any shares of common stock that they acquire in connection with a debt-for-equity exchange and sell in an offering in connection therewith. In the event that the debt exchange parties offer shares of our common stock for sale in connection with a debt-for-equity exchange, WDC will be deemed to be a selling stockholder in such offering solely for federal securities laws purposes.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of our common stock covered by this prospectus and the applicable prospectus supplement, the selling stockholder and any broker-dealers who execute sales for the selling stockholder may be deemed to be underwriters within the meaning of Section 2(a)(11) of the Securities Act in connection with such sales. Any profits realized by the selling stockholder and the compensation of any broker-dealer may be deemed to be underwriting discounts and commissions. Selling stockholders who are underwriters within the meaning of Section 2(a)(11) of the Securities Act will be subject to the prospectus delivery requirements of the Securities Act and may be subject to certain statutory and regulatory liabilities, including liabilities imposed pursuant to Sections 11, 12 and 17 of the Securities Act and Rule 10b-5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of our common stock must be sold in such jurisdictions only through registered or licensed brokers or dealers. In addition, in certain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may not be sold unless the shares are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anti-manipulation rules of Regulation M under the Exchange Act may apply to sales of the shares of our common stock pursuant to this prospectus and the applicable prospectus supplement and to the activities of the selling stockholder. In addition, we will make copies of this prospectus and the applicable prospectus supplement available to the selling stockholder for the purpose of satisfying the prospectus delivery requirements of the Securities Act. To the extent applicable, Regulation M may also restrict the ability of any person engaged in the distribution of the common stock to engage in market-making activities with respect to the common stock. All of the foregoing may affect the marketability of the common stock and the ability of any person or entity to engage in market-making activities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stockholder will sell any or all of the common stock registered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If required, we will file a post-effective amendment to the registration statement of which this prospectus is a part to include any material information with respect to the plan of distribution not previously disclosed in the registration statement or any material change to such information in the registration statement. At the time a particular offering of the shares is made, a prospectus supplement, if required, will be distributed, which will set forth the name of the selling stockholder, the aggregate amount of shares being offered and the terms of the offering, including, to the extent required, (1) the name or names of any underwriters, broker-dealers or agents, (2) any discounts, commissions and other terms constituting compensation from the selling stockholder and (3) any discounts, commissions or concessions allowed or reallowed to be paid to broker-dealers.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 against certain liabilities, including certain liabilities under the Securities Act. We have also agreed, among other things, to bear substantially all expenses (other than underwriting discounts and selling commissions) in connection with the registration and sale of the shares of our common stock covered by this prospectus and the applicable prospectus supplement. Agents and underwriters may be entitled to indemnification by us and the selling stockholder against certain liabilities, including liabilities under the Securities Act, or to contributions with respect to payments which the agents or underwriters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Agents and underwriters and their respective affiliates may engage in transactions with, or perform services for us in the ordinary course of business for which they may receive customary fees and reimbursement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offering expenses payable by us, in addition to any underwriting discounts and commissions that will be paid by the selling stockholder,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shares shall require the Issuer or any Manager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The above selling restriction is in addition to any other selling restrictions set out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the United Kingdom (UK), no shares of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common stock shall require the Issuer or any Manager to publish a prospectus pursuant to Section 85 of the FSMA or Article 3 of the UK Prospectus Regulation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initially acquires any shares of common stock or to whom any offer is made will be deemed to have represented, acknowledged and agreed to and with the Company and the Managers that it is a qualified investor within the meaning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of common stock being offered to a financial intermediary as that term is used in Article 5(1) of the UK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of common stock in the UK means the communication in any form and by any means of sufficient information on the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offer and any shares of common stock to be offered so as to enable an investor to decide to purchase or subscribe for any shares of common stock, the expression UK Prospectus Regulation means Regulation (EU) 2017/1129 as it forms part of domestic law by virtue of the European Union (Withdrawal) Act 2018, and the expression FSMA means the Financial Services and Markets Act 2000.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(FINMA), and the offer of shares of common stock has not been and will not be authorized under the Swiss Federal Act on Collective Investment Schemes (CISA). The investor protection afforded to acquirers of interests in collective investment schemes under the CISA does not extend to acquirers of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common stock offered should conduct their own due diligence on the shares of common stock. If you do not understand the contents of this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of common stock which are or are intended to be disposed of only to persons outside Hong Kong or only to professional investors as defined in the Securities and Futures Ordinance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The shares of common stock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or subsection 73.3(1) of the </w:t>
      </w:r>
      <w:r>
        <w:rPr>
          <w:rFonts w:ascii="Times New Roman" w:hAnsi="Times New Roman"/>
          <w:i/>
          <w:sz w:val="20"/>
        </w:rPr>
        <w:t>Securities Act</w:t>
      </w:r>
      <w:r>
        <w:rPr>
          <w:rFonts w:ascii="Times New Roman" w:hAnsi="Times New Roman"/>
          <w:sz w:val="20"/>
        </w:rPr>
        <w:t>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of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w:t>
      </w:r>
      <w:r>
        <w:rPr>
          <w:rFonts w:ascii="Times New Roman" w:hAnsi="Times New Roman"/>
          <w:b/>
          <w:sz w:val="20"/>
        </w:rPr>
        <w:t>NI 33-105</w:t>
      </w:r>
      <w:r>
        <w:rPr>
          <w:rFonts w:ascii="Times New Roman" w:hAnsi="Times New Roman"/>
          <w:sz w:val="20"/>
        </w:rPr>
        <w:t xml:space="preserve">),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Ireland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prepared in accordance with and is not a prospectus for the purposes of the Prospectus Regulation and has not been reviewed or approved by the Central Bank of Ireland or any other competent authority for the purposes of the Prospectus Regulation and is referred to as a prospectus because this is the terminology used for such an offer document in the U.S. No action may be taken with respect to the common stock in Ireland otherwise than in conformity with the provisions of (1) the European Union (Markets in Financial Instruments) Regulations 2017, including, without limitation, Regulations 5 thereof or any codes of conduct issued in connection therewith, Directive 2014/65/EU of the European Parliament and of the Council of 15 May 2014 on markets in financial instruments, Regulation (EU) No 600/2014 of the European Parliament and of the Council of 15 May 2014 on markets in financial instruments and amending Regulation (EU) No. 648/2012 and all implementing measures, delegated acts and guidance in respect thereof and the provisions of the Investor Compensation Act 1998, (2) the Companies Act 2014, the Central Bank Acts 1942 to 2018 and any code of conduct rules made under Section 117(1) of the Central Bank Act 1989, (3) Prospectus Regulation (EU) 2017/1129, the European Union (Prospectus) Regulations 2019, the Central Bank (Investment Market Conduct) Rules 2019 and any rules or guidelines issued under section 1363 of the Companies Act 2014 by the Central Bank of Ireland and (4) Market Abuse Regulation (EU 596/2014), the European Union (Market Abuse) Regulations 2016 and any rules or guidelines issued under section 1370 of the Companies Act 2014 by the Central Bank of Ireland.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57281968, subject to certain conditions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 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34557_22"/>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OMelveny &amp; Myers LLP has passed upon the validity of the common stock on behalf of Sandisk Corporation. OMelveny &amp; Myers LLP has from time to time acted as counsel for WDC and may do so in the future. Legal matters in connection with any underwritten offering will be passed upon for the underwriters by counsel to be named in the applicable prospectus supplement. </w:t>
      </w:r>
    </w:p>
    <w:p>
      <w:pPr>
        <w:pStyle w:val="TextBody"/>
        <w:bidi w:val="0"/>
        <w:spacing w:before="480" w:after="0"/>
        <w:jc w:val="center"/>
        <w:rPr>
          <w:rFonts w:ascii="Times New Roman" w:hAnsi="Times New Roman"/>
          <w:b/>
          <w:sz w:val="20"/>
        </w:rPr>
      </w:pPr>
      <w:bookmarkStart w:id="25" w:name="tx934557_23"/>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of Sandisk Corporation as of June 28, 2024, and June 30, 2023, and for each of the years in the three-year period ended June 28, 2024, have been included herein and in the registration statement in reliance upon the report of KPMG LLP, independent registered public accounting firm, appearing elsewhere herein, and upon the authority of said firm as experts in accounting and auditing. </w:t>
      </w:r>
    </w:p>
    <w:p>
      <w:pPr>
        <w:pStyle w:val="TextBody"/>
        <w:bidi w:val="0"/>
        <w:spacing w:before="480" w:after="0"/>
        <w:jc w:val="center"/>
        <w:rPr>
          <w:rFonts w:ascii="Times New Roman" w:hAnsi="Times New Roman"/>
          <w:b/>
          <w:sz w:val="20"/>
        </w:rPr>
      </w:pPr>
      <w:bookmarkStart w:id="26" w:name="tx934557_24"/>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S-1 with the SEC with respect to the shares of our common stock being registered as contemplated by this prospectus. This prospectus is a part of, and does not contain all of the information set forth in, the registration statement and the exhibits and schedules to the registration statement. For further information with respect to Sandisk and Sandisk common stock, please refer to the registration statement, including its exhibits and schedules. Statements made in this prospectus relating to any contract or other document filed as an exhibit to the registration statement include the material terms of such contract or other document. However, such statements are not necessarily complete, and you should refer to the exhibits attached to the registration statement for copies of the actual contract or document. The SEC maintains an Internet website that contains reports and other information about issuers, like us, that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distribution, Sandisk became subject to the information and reporting requirements of the Exchange Act and, in accordance with the Exchange Act, is required to file periodic reports, proxy statements and other information with the SEC. These periodic reports, proxy statements and other information will be available for inspection and copying at the website of the SEC referred to above, as well as on our website at investor.sandisk.com. </w:t>
      </w:r>
      <w:r>
        <w:rPr>
          <w:rFonts w:ascii="Times New Roman" w:hAnsi="Times New Roman"/>
          <w:b/>
          <w:sz w:val="20"/>
        </w:rPr>
        <w:t>Information contained on or connected to any website referenced in this prospectus is not incorporated into this prospectus or the registration statement of which this prospectus forms a part, or in any other filings with, or any information furnished or submitted to, the SEC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 this prospectus or to which this prospectus has referred you. Neither we nor the selling stockholder have authorized anyone to provide you with additional information or information different from that contained in this prospectus or in any free writing prospectus filed with the SEC and we take no responsibility for any other information that others may give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934557_25"/>
      <w:bookmarkEnd w:id="27"/>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05"/>
        <w:gridCol w:w="150"/>
        <w:gridCol w:w="60"/>
        <w:gridCol w:w="528"/>
        <w:gridCol w:w="62"/>
      </w:tblGrid>
      <w:tr>
        <w:trPr/>
        <w:tc>
          <w:tcPr>
            <w:tcW w:w="940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05" w:type="dxa"/>
            <w:tcBorders/>
          </w:tcPr>
          <w:p>
            <w:pPr>
              <w:pStyle w:val="TableContents"/>
              <w:bidi w:val="0"/>
              <w:spacing w:before="0" w:after="283"/>
              <w:jc w:val="left"/>
              <w:rPr>
                <w:b/>
                <w:sz w:val="20"/>
              </w:rPr>
            </w:pPr>
            <w:r>
              <w:rPr>
                <w:b/>
                <w:sz w:val="20"/>
              </w:rPr>
              <w:t>Audited Combined Financial Statements</w:t>
            </w:r>
          </w:p>
        </w:tc>
        <w:tc>
          <w:tcPr>
            <w:tcW w:w="15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28" w:type="dxa"/>
            <w:tcBorders/>
          </w:tcPr>
          <w:p>
            <w:pPr>
              <w:pStyle w:val="TableContents"/>
              <w:bidi w:val="0"/>
              <w:spacing w:before="0" w:after="283"/>
              <w:jc w:val="left"/>
              <w:rPr>
                <w:b/>
                <w:u w:val="single"/>
              </w:rPr>
            </w:pPr>
            <w:r>
              <w:rPr>
                <w:b/>
                <w:u w:val="single"/>
              </w:rPr>
              <w:t>Page</w:t>
            </w:r>
          </w:p>
        </w:tc>
        <w:tc>
          <w:tcPr>
            <w:tcW w:w="62" w:type="dxa"/>
            <w:tcBorders/>
          </w:tcPr>
          <w:p>
            <w:pPr>
              <w:pStyle w:val="TableContents"/>
              <w:bidi w:val="0"/>
              <w:spacing w:before="0" w:after="283"/>
              <w:jc w:val="left"/>
              <w:rPr/>
            </w:pPr>
            <w:r>
              <w:rPr/>
              <w:t> </w:t>
            </w:r>
          </w:p>
        </w:tc>
      </w:tr>
      <w:tr>
        <w:trPr>
          <w:trHeight w:val="120" w:hRule="atLeast"/>
        </w:trPr>
        <w:tc>
          <w:tcPr>
            <w:tcW w:w="9405" w:type="dxa"/>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r>
      <w:tr>
        <w:trPr/>
        <w:tc>
          <w:tcPr>
            <w:tcW w:w="9405" w:type="dxa"/>
            <w:tcBorders/>
            <w:vAlign w:val="bottom"/>
          </w:tcPr>
          <w:p>
            <w:pPr>
              <w:pStyle w:val="TableContents"/>
              <w:bidi w:val="0"/>
              <w:spacing w:before="0" w:after="0"/>
              <w:jc w:val="left"/>
              <w:rPr/>
            </w:pPr>
            <w:hyperlink w:anchor="fin934557_1">
              <w:r>
                <w:rPr>
                  <w:rStyle w:val="InternetLink"/>
                  <w:rFonts w:ascii="Times New Roman" w:hAnsi="Times New Roman"/>
                  <w:sz w:val="20"/>
                </w:rPr>
                <w:t>Report of Independent Registered Public Accounting Firm</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2">
              <w:r>
                <w:rPr>
                  <w:rStyle w:val="InternetLink"/>
                  <w:rFonts w:ascii="Times New Roman" w:hAnsi="Times New Roman"/>
                  <w:sz w:val="20"/>
                </w:rPr>
                <w:t>Combined Balance Sheets as of June 28, 2024 and June  30, 2023</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3">
              <w:r>
                <w:rPr>
                  <w:rStyle w:val="InternetLink"/>
                  <w:rFonts w:ascii="Times New Roman" w:hAnsi="Times New Roman"/>
                  <w:sz w:val="20"/>
                </w:rPr>
                <w:t>Combined Statements of Operations for the fiscal years ended June  28, 2024, June 30, 2023 and July 1, 2022</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4">
              <w:r>
                <w:rPr>
                  <w:rStyle w:val="InternetLink"/>
                  <w:rFonts w:ascii="Times New Roman" w:hAnsi="Times New Roman"/>
                  <w:sz w:val="20"/>
                </w:rPr>
                <w:t>Combined Statements of Comprehensive Income (Loss) for the fiscal years ended June 28, 2024, June 30, 2023 and July 1, 2022</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5">
              <w:r>
                <w:rPr>
                  <w:rStyle w:val="InternetLink"/>
                  <w:rFonts w:ascii="Times New Roman" w:hAnsi="Times New Roman"/>
                  <w:sz w:val="20"/>
                </w:rPr>
                <w:t>Combined Statements of Cash Flows for the fiscal years ended June  28, 2024, June 30, 2023 and July 1, 2022</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6">
              <w:r>
                <w:rPr>
                  <w:rStyle w:val="InternetLink"/>
                  <w:rFonts w:ascii="Times New Roman" w:hAnsi="Times New Roman"/>
                  <w:sz w:val="20"/>
                </w:rPr>
                <w:t>Combined Statements of Changes in Parent Company Net Investment for the fiscal years ended June 28, 2024, June 30, 2023 and July 1, 2022</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7">
              <w:r>
                <w:rPr>
                  <w:rStyle w:val="InternetLink"/>
                  <w:rFonts w:ascii="Times New Roman" w:hAnsi="Times New Roman"/>
                  <w:sz w:val="20"/>
                </w:rPr>
                <w:t>Notes to Combined Financial Statements</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rHeight w:val="120" w:hRule="atLeast"/>
        </w:trPr>
        <w:tc>
          <w:tcPr>
            <w:tcW w:w="9405" w:type="dxa"/>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r>
      <w:tr>
        <w:trPr/>
        <w:tc>
          <w:tcPr>
            <w:tcW w:w="94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Interim Unaudited Condensed Combined Financial Statements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05" w:type="dxa"/>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r>
      <w:tr>
        <w:trPr/>
        <w:tc>
          <w:tcPr>
            <w:tcW w:w="9405" w:type="dxa"/>
            <w:tcBorders/>
            <w:vAlign w:val="bottom"/>
          </w:tcPr>
          <w:p>
            <w:pPr>
              <w:pStyle w:val="TableContents"/>
              <w:bidi w:val="0"/>
              <w:spacing w:before="0" w:after="0"/>
              <w:jc w:val="left"/>
              <w:rPr/>
            </w:pPr>
            <w:hyperlink w:anchor="fin934557_8">
              <w:r>
                <w:rPr>
                  <w:rStyle w:val="InternetLink"/>
                  <w:rFonts w:ascii="Times New Roman" w:hAnsi="Times New Roman"/>
                  <w:sz w:val="20"/>
                </w:rPr>
                <w:t>Condensed Combined Balance Sheets as of December 27,  2024, and June 28, 2024</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9">
              <w:r>
                <w:rPr>
                  <w:rStyle w:val="InternetLink"/>
                  <w:rFonts w:ascii="Times New Roman" w:hAnsi="Times New Roman"/>
                  <w:sz w:val="20"/>
                </w:rPr>
                <w:t>Condensed Combined Statements of Operations for the six months ended December 27, 2024 and December 29, 2023</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F-44</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10">
              <w:r>
                <w:rPr>
                  <w:rStyle w:val="InternetLink"/>
                  <w:rFonts w:ascii="Times New Roman" w:hAnsi="Times New Roman"/>
                  <w:sz w:val="20"/>
                </w:rPr>
                <w:t>Condensed Combined Statements of Comprehensive Income (Loss) for the six months ended December 27, 2024 and December 29, 2023</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F-45</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11">
              <w:r>
                <w:rPr>
                  <w:rStyle w:val="InternetLink"/>
                  <w:rFonts w:ascii="Times New Roman" w:hAnsi="Times New Roman"/>
                  <w:sz w:val="20"/>
                </w:rPr>
                <w:t>Condensed Combined Statements of Cash Flows for the six months ended December 27, 2024 and December 29, 2023</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F-46</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12">
              <w:r>
                <w:rPr>
                  <w:rStyle w:val="InternetLink"/>
                  <w:rFonts w:ascii="Times New Roman" w:hAnsi="Times New Roman"/>
                  <w:sz w:val="20"/>
                </w:rPr>
                <w:t>Condensed Combined Statements of Changes in Parent Company Net Investment for the six months ended December 27, 2024 and December 29, 2023</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F-47</w:t>
            </w:r>
          </w:p>
        </w:tc>
        <w:tc>
          <w:tcPr>
            <w:tcW w:w="62" w:type="dxa"/>
            <w:tcBorders/>
            <w:vAlign w:val="bottom"/>
          </w:tcPr>
          <w:p>
            <w:pPr>
              <w:pStyle w:val="TableContents"/>
              <w:bidi w:val="0"/>
              <w:spacing w:before="0" w:after="283"/>
              <w:jc w:val="left"/>
              <w:rPr/>
            </w:pPr>
            <w:r>
              <w:rPr/>
              <w:t> </w:t>
            </w:r>
          </w:p>
        </w:tc>
      </w:tr>
      <w:tr>
        <w:trPr/>
        <w:tc>
          <w:tcPr>
            <w:tcW w:w="9405" w:type="dxa"/>
            <w:tcBorders/>
            <w:vAlign w:val="bottom"/>
          </w:tcPr>
          <w:p>
            <w:pPr>
              <w:pStyle w:val="TableContents"/>
              <w:bidi w:val="0"/>
              <w:spacing w:before="0" w:after="0"/>
              <w:jc w:val="left"/>
              <w:rPr/>
            </w:pPr>
            <w:hyperlink w:anchor="fin934557_13">
              <w:r>
                <w:rPr>
                  <w:rStyle w:val="InternetLink"/>
                  <w:rFonts w:ascii="Times New Roman" w:hAnsi="Times New Roman"/>
                  <w:sz w:val="20"/>
                </w:rPr>
                <w:t>Notes to Condensed Combined Financial Statements</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 w:type="dxa"/>
            <w:tcBorders/>
            <w:vAlign w:val="bottom"/>
          </w:tcPr>
          <w:p>
            <w:pPr>
              <w:pStyle w:val="TableContents"/>
              <w:bidi w:val="0"/>
              <w:spacing w:before="0" w:after="283"/>
              <w:jc w:val="right"/>
              <w:rPr/>
            </w:pPr>
            <w:r>
              <w:rPr/>
              <w:t>F-48</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references herein to specific years and quarters are to our fiscal years and fiscal quarters, and references to financial information are on a condensed combined basis. As used herein, the terms we, us, our, the Company, and Sandisk refer to Sandisk Corporation and its subsidiaries, unless we state, or the context indicates, otherwise. </w:t>
      </w:r>
    </w:p>
    <w:p>
      <w:pPr>
        <w:pStyle w:val="TextBody"/>
        <w:bidi w:val="0"/>
        <w:spacing w:before="240" w:after="0"/>
        <w:jc w:val="left"/>
        <w:rPr>
          <w:rFonts w:ascii="Times New Roman" w:hAnsi="Times New Roman"/>
          <w:sz w:val="20"/>
        </w:rPr>
      </w:pPr>
      <w:r>
        <w:rPr>
          <w:rFonts w:ascii="Times New Roman" w:hAnsi="Times New Roman"/>
          <w:sz w:val="20"/>
        </w:rPr>
        <w:t xml:space="preserve">Sandisk, a Delaware corporation, is the parent company of our NAND flash data storage business. Our principal executive offices are located at 951 Sandisk Drive, Milpitas, California, 95035. Our telephone number is (408) 801-1000.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fin934557_1"/>
      <w:bookmarkEnd w:id="28"/>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Western Digital Corporation: </w:t>
      </w:r>
    </w:p>
    <w:p>
      <w:pPr>
        <w:pStyle w:val="TextBody"/>
        <w:bidi w:val="0"/>
        <w:spacing w:before="240" w:after="0"/>
        <w:jc w:val="left"/>
        <w:rPr>
          <w:rFonts w:ascii="Times New Roman" w:hAnsi="Times New Roman"/>
          <w:i/>
          <w:sz w:val="20"/>
        </w:rPr>
      </w:pPr>
      <w:r>
        <w:rPr>
          <w:rFonts w:ascii="Times New Roman" w:hAnsi="Times New Roman"/>
          <w:i/>
          <w:sz w:val="20"/>
        </w:rPr>
        <w:t xml:space="preserve">Opinion on the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combined balance sheets of the Flash Business of Western Digital Corporation (the Business) as of June 28, 2024 and June 30, 2023, the related combined statements of operations, comprehensive income (loss), cash flows, and changes in parent company net investment for each of the years in the three-year period ended June 28, 2024, and the related notes (collectively, the combined financial statements). In our opinion, the combined financial statements present fairly, in all material respects, the financial position of the Business as of June 28, 2024 and June 30, 2023, and the results of its operations and its cash flows for each of the years in the three-year period ended June 28, 2024, in conformity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combined financial statements are the responsibility of the Businesss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Business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 </w:t>
      </w:r>
    </w:p>
    <w:p>
      <w:pPr>
        <w:pStyle w:val="TextBody"/>
        <w:bidi w:val="0"/>
        <w:spacing w:before="360" w:after="0"/>
        <w:jc w:val="left"/>
        <w:rPr>
          <w:rFonts w:ascii="Times New Roman" w:hAnsi="Times New Roman"/>
          <w:i/>
          <w:sz w:val="20"/>
        </w:rPr>
      </w:pPr>
      <w:r>
        <w:rPr>
          <w:rFonts w:ascii="Times New Roman" w:hAnsi="Times New Roman"/>
          <w:i/>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sz w:val="20"/>
        </w:rPr>
      </w:pPr>
      <w:r>
        <w:rPr>
          <w:rFonts w:ascii="Times New Roman" w:hAnsi="Times New Roman"/>
          <w:i/>
          <w:sz w:val="20"/>
        </w:rPr>
        <w:t xml:space="preserve">Assessment of variable consideration for sales to resellers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to the combined financial statements, the Business provides resellers with price protection for inventories held by resellers at the time of published list price reductions and other sales incentive programs. The Business records estimated variable consideration related to these items as a reduction to revenue at the time of revenue recognition. The Business uses judgment in its assessment of variable consideration in contracts to be included in the transaction price. For sales to resellers, the Businesss methodology for estimating variable consideration is based on several factors, including historical pricing information, current pricing trends and channel inventory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identified the assessment of variable consideration for sales to resellers as a critical audit matter. A high degree of subjective auditor judgment was required to evaluate the Businesss assumptions for historical pricing information and the level of channel inventory used to estimate variable consideration for sales to resellers as minor changes in these assumptions could cause significant changes in the estimate.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primary procedures we performed to address this critical audit matter. We evaluated the design and tested the operating effectiveness of certain internal controls related to the Businesss process for estimating the variable consideration, including certain controls related to historical pricing information and the level of channel inventory assumptions. We evaluated the assumptions for historical pricing information by inspecting a sample of customer contracts with resellers and comparing the sales incentives earned during the year to the sales incentive program terms and conditions and recalculating amounts paid to the resellers. We tested the channel inventory levels by comparing the on-hand inventory amounts for a sample of resellers to information obtained from the resellers and evaluated the reasonableness of reconciling items. </w:t>
      </w:r>
    </w:p>
    <w:p>
      <w:pPr>
        <w:pStyle w:val="TextBody"/>
        <w:bidi w:val="0"/>
        <w:spacing w:before="0" w:after="0"/>
        <w:jc w:val="left"/>
        <w:rPr/>
      </w:pPr>
      <w:r>
        <w:rPr/>
        <w:t> </w:t>
      </w:r>
    </w:p>
    <w:p>
      <w:pPr>
        <w:pStyle w:val="TextBody"/>
        <w:bidi w:val="0"/>
        <w:spacing w:before="0" w:after="0"/>
        <w:jc w:val="left"/>
        <w:rPr/>
      </w:pPr>
      <w:r>
        <w:rPr/>
        <w:drawing>
          <wp:inline distT="0" distB="0" distL="0" distR="0">
            <wp:extent cx="1371600" cy="2800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71600" cy="2800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Businesss auditor since 2023. </w:t>
      </w:r>
    </w:p>
    <w:p>
      <w:pPr>
        <w:pStyle w:val="TextBody"/>
        <w:bidi w:val="0"/>
        <w:spacing w:before="24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11,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fin934557_2"/>
      <w:bookmarkEnd w:id="29"/>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COMBINED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42"/>
        <w:gridCol w:w="227"/>
        <w:gridCol w:w="140"/>
        <w:gridCol w:w="769"/>
        <w:gridCol w:w="157"/>
        <w:gridCol w:w="199"/>
        <w:gridCol w:w="140"/>
        <w:gridCol w:w="769"/>
        <w:gridCol w:w="162"/>
      </w:tblGrid>
      <w:tr>
        <w:trPr/>
        <w:tc>
          <w:tcPr>
            <w:tcW w:w="7642"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4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328</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292</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935</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539</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1,955</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2,269</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221</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234</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Notes due from Parent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102</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63</w:t>
            </w:r>
          </w:p>
        </w:tc>
        <w:tc>
          <w:tcPr>
            <w:tcW w:w="162" w:type="dxa"/>
            <w:tcBorders/>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3,548</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3,400</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791</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933</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and investments in Flash Ventures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1,001</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1,411</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7,207</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7,212</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96</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76</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 non-current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11</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9</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852</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779</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13,506</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13,820</w:t>
            </w:r>
          </w:p>
        </w:tc>
        <w:tc>
          <w:tcPr>
            <w:tcW w:w="162" w:type="dxa"/>
            <w:tcBorders/>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357</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334</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to related parties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313</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292</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424</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483</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48</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195</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98</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Notes due to Parent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814</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919</w:t>
            </w:r>
          </w:p>
        </w:tc>
        <w:tc>
          <w:tcPr>
            <w:tcW w:w="162" w:type="dxa"/>
            <w:tcBorders/>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2,123</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2,174</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15</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28</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286</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179</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2,424</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2,381</w:t>
            </w:r>
          </w:p>
        </w:tc>
        <w:tc>
          <w:tcPr>
            <w:tcW w:w="162" w:type="dxa"/>
            <w:tcBorders/>
            <w:vAlign w:val="bottom"/>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(Notes 9, 10, 12 and 14)</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11,534</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11,782</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(452</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(343</w:t>
            </w:r>
          </w:p>
        </w:tc>
        <w:tc>
          <w:tcPr>
            <w:tcW w:w="162" w:type="dxa"/>
            <w:tcBorders/>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Parent company net investment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11,082</w:t>
            </w:r>
          </w:p>
        </w:tc>
        <w:tc>
          <w:tcPr>
            <w:tcW w:w="15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11,439</w:t>
            </w:r>
          </w:p>
        </w:tc>
        <w:tc>
          <w:tcPr>
            <w:tcW w:w="162" w:type="dxa"/>
            <w:tcBorders/>
            <w:shd w:fill="CCEEFF" w:val="clear"/>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64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Parent company net investment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 </w:t>
            </w:r>
            <w:r>
              <w:rPr/>
              <w:t>13,506</w:t>
            </w:r>
          </w:p>
        </w:tc>
        <w:tc>
          <w:tcPr>
            <w:tcW w:w="15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 </w:t>
            </w:r>
            <w:r>
              <w:rPr/>
              <w:t>13,820</w:t>
            </w:r>
          </w:p>
        </w:tc>
        <w:tc>
          <w:tcPr>
            <w:tcW w:w="162" w:type="dxa"/>
            <w:tcBorders/>
            <w:vAlign w:val="bottom"/>
          </w:tcPr>
          <w:p>
            <w:pPr>
              <w:pStyle w:val="TableContents"/>
              <w:bidi w:val="0"/>
              <w:spacing w:before="0" w:after="283"/>
              <w:jc w:val="left"/>
              <w:rPr/>
            </w:pPr>
            <w:r>
              <w:rPr/>
              <w:t> </w:t>
            </w:r>
          </w:p>
        </w:tc>
      </w:tr>
      <w:tr>
        <w:trPr/>
        <w:tc>
          <w:tcPr>
            <w:tcW w:w="7642"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fin934557_3"/>
      <w:bookmarkEnd w:id="30"/>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COMBINED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7"/>
        <w:gridCol w:w="231"/>
        <w:gridCol w:w="175"/>
        <w:gridCol w:w="707"/>
        <w:gridCol w:w="155"/>
        <w:gridCol w:w="189"/>
        <w:gridCol w:w="158"/>
        <w:gridCol w:w="719"/>
        <w:gridCol w:w="155"/>
        <w:gridCol w:w="189"/>
        <w:gridCol w:w="140"/>
        <w:gridCol w:w="610"/>
        <w:gridCol w:w="160"/>
      </w:tblGrid>
      <w:tr>
        <w:trPr/>
        <w:tc>
          <w:tcPr>
            <w:tcW w:w="661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1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31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60"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w:t>
              <w:br/>
              <w:t>2022</w:t>
            </w:r>
          </w:p>
        </w:tc>
        <w:tc>
          <w:tcPr>
            <w:tcW w:w="160"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6,663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6,086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0" w:type="dxa"/>
            <w:tcBorders/>
            <w:shd w:fill="CCEEFF" w:val="clear"/>
            <w:vAlign w:val="bottom"/>
          </w:tcPr>
          <w:p>
            <w:pPr>
              <w:pStyle w:val="TableContents"/>
              <w:bidi w:val="0"/>
              <w:spacing w:before="0" w:after="283"/>
              <w:jc w:val="right"/>
              <w:rPr/>
            </w:pPr>
            <w:r>
              <w:rPr/>
              <w:t>9,754</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5,591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5,656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6,510</w:t>
            </w:r>
          </w:p>
        </w:tc>
        <w:tc>
          <w:tcPr>
            <w:tcW w:w="160"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1,072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3,244</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1,061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1,167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1,362</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455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558</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666</w:t>
            </w:r>
          </w:p>
        </w:tc>
        <w:tc>
          <w:tcPr>
            <w:tcW w:w="160"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16</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671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1,540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2,465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2,044</w:t>
            </w:r>
          </w:p>
        </w:tc>
        <w:tc>
          <w:tcPr>
            <w:tcW w:w="160"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(468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(2,035</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1,200</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and other income (expense):</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6</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43</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interest and other income (expense), net</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34</w:t>
            </w:r>
          </w:p>
        </w:tc>
        <w:tc>
          <w:tcPr>
            <w:tcW w:w="160"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(loss) before taxes</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(503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(2,002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1,234</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169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170</w:t>
            </w:r>
          </w:p>
        </w:tc>
        <w:tc>
          <w:tcPr>
            <w:tcW w:w="160"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3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(672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(2,143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0" w:type="dxa"/>
            <w:tcBorders/>
            <w:shd w:fill="CCEEFF" w:val="clear"/>
            <w:vAlign w:val="bottom"/>
          </w:tcPr>
          <w:p>
            <w:pPr>
              <w:pStyle w:val="TableContents"/>
              <w:bidi w:val="0"/>
              <w:spacing w:before="0" w:after="283"/>
              <w:jc w:val="right"/>
              <w:rPr/>
            </w:pPr>
            <w:r>
              <w:rPr/>
              <w:t>1,064</w:t>
            </w:r>
          </w:p>
        </w:tc>
        <w:tc>
          <w:tcPr>
            <w:tcW w:w="160"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fin934557_4"/>
      <w:bookmarkEnd w:id="31"/>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COMBINED STATEMENTS OF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2"/>
        <w:gridCol w:w="233"/>
        <w:gridCol w:w="226"/>
        <w:gridCol w:w="721"/>
        <w:gridCol w:w="155"/>
        <w:gridCol w:w="187"/>
        <w:gridCol w:w="158"/>
        <w:gridCol w:w="756"/>
        <w:gridCol w:w="155"/>
        <w:gridCol w:w="187"/>
        <w:gridCol w:w="140"/>
        <w:gridCol w:w="566"/>
        <w:gridCol w:w="159"/>
      </w:tblGrid>
      <w:tr>
        <w:trPr/>
        <w:tc>
          <w:tcPr>
            <w:tcW w:w="6562"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2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59" w:type="dxa"/>
            <w:tcBorders/>
            <w:vAlign w:val="bottom"/>
          </w:tcPr>
          <w:p>
            <w:pPr>
              <w:pStyle w:val="TableContents"/>
              <w:bidi w:val="0"/>
              <w:spacing w:before="0" w:after="283"/>
              <w:jc w:val="left"/>
              <w:rPr/>
            </w:pPr>
            <w:r>
              <w:rPr/>
              <w:t> </w:t>
            </w:r>
          </w:p>
        </w:tc>
      </w:tr>
      <w:tr>
        <w:trPr/>
        <w:tc>
          <w:tcPr>
            <w:tcW w:w="656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w:t>
              <w:br/>
              <w:t>2022</w:t>
            </w:r>
          </w:p>
        </w:tc>
        <w:tc>
          <w:tcPr>
            <w:tcW w:w="159" w:type="dxa"/>
            <w:tcBorders/>
            <w:vAlign w:val="bottom"/>
          </w:tcPr>
          <w:p>
            <w:pPr>
              <w:pStyle w:val="TableContents"/>
              <w:bidi w:val="0"/>
              <w:spacing w:before="0" w:after="283"/>
              <w:jc w:val="left"/>
              <w:rPr/>
            </w:pPr>
            <w:r>
              <w:rPr/>
              <w:t> </w:t>
            </w:r>
          </w:p>
        </w:tc>
      </w:tr>
      <w:tr>
        <w:trPr/>
        <w:tc>
          <w:tcPr>
            <w:tcW w:w="6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3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(672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(2,143</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1,064</w:t>
            </w:r>
          </w:p>
        </w:tc>
        <w:tc>
          <w:tcPr>
            <w:tcW w:w="159" w:type="dxa"/>
            <w:tcBorders/>
            <w:shd w:fill="CCEEFF" w:val="clear"/>
            <w:vAlign w:val="bottom"/>
          </w:tcPr>
          <w:p>
            <w:pPr>
              <w:pStyle w:val="TableContents"/>
              <w:bidi w:val="0"/>
              <w:spacing w:before="0" w:after="283"/>
              <w:jc w:val="left"/>
              <w:rPr/>
            </w:pPr>
            <w:r>
              <w:rPr/>
              <w:t> </w:t>
            </w:r>
          </w:p>
        </w:tc>
      </w:tr>
      <w:tr>
        <w:trPr/>
        <w:tc>
          <w:tcPr>
            <w:tcW w:w="656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tax:</w:t>
            </w:r>
          </w:p>
        </w:tc>
        <w:tc>
          <w:tcPr>
            <w:tcW w:w="23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7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3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(107</w:t>
            </w:r>
          </w:p>
        </w:tc>
        <w:tc>
          <w:tcPr>
            <w:tcW w:w="159" w:type="dxa"/>
            <w:tcBorders/>
            <w:shd w:fill="CCEEFF" w:val="clear"/>
            <w:vAlign w:val="bottom"/>
          </w:tcPr>
          <w:p>
            <w:pPr>
              <w:pStyle w:val="TableContents"/>
              <w:bidi w:val="0"/>
              <w:spacing w:before="0" w:after="283"/>
              <w:jc w:val="left"/>
              <w:rPr/>
            </w:pPr>
            <w:r>
              <w:rPr/>
              <w:t>) </w:t>
            </w:r>
          </w:p>
        </w:tc>
      </w:tr>
      <w:tr>
        <w:trPr/>
        <w:tc>
          <w:tcPr>
            <w:tcW w:w="6562"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gain (loss) on derivative contracts</w:t>
            </w:r>
          </w:p>
        </w:tc>
        <w:tc>
          <w:tcPr>
            <w:tcW w:w="23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(245</w:t>
            </w:r>
          </w:p>
        </w:tc>
        <w:tc>
          <w:tcPr>
            <w:tcW w:w="159" w:type="dxa"/>
            <w:tcBorders/>
            <w:vAlign w:val="bottom"/>
          </w:tcPr>
          <w:p>
            <w:pPr>
              <w:pStyle w:val="TableContents"/>
              <w:bidi w:val="0"/>
              <w:spacing w:before="0" w:after="283"/>
              <w:jc w:val="left"/>
              <w:rPr/>
            </w:pPr>
            <w:r>
              <w:rPr/>
              <w:t>) </w:t>
            </w:r>
          </w:p>
        </w:tc>
      </w:tr>
      <w:tr>
        <w:trPr/>
        <w:tc>
          <w:tcPr>
            <w:tcW w:w="6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 before tax</w:t>
            </w:r>
          </w:p>
        </w:tc>
        <w:tc>
          <w:tcPr>
            <w:tcW w:w="23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(352</w:t>
            </w:r>
          </w:p>
        </w:tc>
        <w:tc>
          <w:tcPr>
            <w:tcW w:w="159" w:type="dxa"/>
            <w:tcBorders/>
            <w:shd w:fill="CCEEFF" w:val="clear"/>
            <w:vAlign w:val="bottom"/>
          </w:tcPr>
          <w:p>
            <w:pPr>
              <w:pStyle w:val="TableContents"/>
              <w:bidi w:val="0"/>
              <w:spacing w:before="0" w:after="283"/>
              <w:jc w:val="left"/>
              <w:rPr/>
            </w:pPr>
            <w:r>
              <w:rPr/>
              <w:t>) </w:t>
            </w:r>
          </w:p>
        </w:tc>
      </w:tr>
      <w:tr>
        <w:trPr/>
        <w:tc>
          <w:tcPr>
            <w:tcW w:w="656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 related to items of other comprehensive income (loss), before tax</w:t>
            </w:r>
          </w:p>
        </w:tc>
        <w:tc>
          <w:tcPr>
            <w:tcW w:w="23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35</w:t>
            </w:r>
          </w:p>
        </w:tc>
        <w:tc>
          <w:tcPr>
            <w:tcW w:w="159" w:type="dxa"/>
            <w:tcBorders/>
            <w:vAlign w:val="bottom"/>
          </w:tcPr>
          <w:p>
            <w:pPr>
              <w:pStyle w:val="TableContents"/>
              <w:bidi w:val="0"/>
              <w:spacing w:before="0" w:after="283"/>
              <w:jc w:val="left"/>
              <w:rPr/>
            </w:pPr>
            <w:r>
              <w:rPr/>
              <w:t> </w:t>
            </w:r>
          </w:p>
        </w:tc>
      </w:tr>
      <w:tr>
        <w:trPr/>
        <w:tc>
          <w:tcPr>
            <w:tcW w:w="6562"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tax</w:t>
            </w:r>
          </w:p>
        </w:tc>
        <w:tc>
          <w:tcPr>
            <w:tcW w:w="23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(317</w:t>
            </w:r>
          </w:p>
        </w:tc>
        <w:tc>
          <w:tcPr>
            <w:tcW w:w="159" w:type="dxa"/>
            <w:tcBorders/>
            <w:shd w:fill="CCEEFF" w:val="clear"/>
            <w:vAlign w:val="bottom"/>
          </w:tcPr>
          <w:p>
            <w:pPr>
              <w:pStyle w:val="TableContents"/>
              <w:bidi w:val="0"/>
              <w:spacing w:before="0" w:after="283"/>
              <w:jc w:val="left"/>
              <w:rPr/>
            </w:pPr>
            <w:r>
              <w:rPr/>
              <w:t>) </w:t>
            </w:r>
          </w:p>
        </w:tc>
      </w:tr>
      <w:tr>
        <w:trPr/>
        <w:tc>
          <w:tcPr>
            <w:tcW w:w="6562"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62"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23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(781</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(2,079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747</w:t>
            </w:r>
          </w:p>
        </w:tc>
        <w:tc>
          <w:tcPr>
            <w:tcW w:w="159" w:type="dxa"/>
            <w:tcBorders/>
            <w:vAlign w:val="bottom"/>
          </w:tcPr>
          <w:p>
            <w:pPr>
              <w:pStyle w:val="TableContents"/>
              <w:bidi w:val="0"/>
              <w:spacing w:before="0" w:after="283"/>
              <w:jc w:val="left"/>
              <w:rPr/>
            </w:pPr>
            <w:r>
              <w:rPr/>
              <w:t> </w:t>
            </w:r>
          </w:p>
        </w:tc>
      </w:tr>
      <w:tr>
        <w:trPr/>
        <w:tc>
          <w:tcPr>
            <w:tcW w:w="6562"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fin934557_5"/>
      <w:bookmarkEnd w:id="32"/>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COMBINED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6"/>
        <w:gridCol w:w="233"/>
        <w:gridCol w:w="225"/>
        <w:gridCol w:w="718"/>
        <w:gridCol w:w="155"/>
        <w:gridCol w:w="188"/>
        <w:gridCol w:w="158"/>
        <w:gridCol w:w="754"/>
        <w:gridCol w:w="155"/>
        <w:gridCol w:w="188"/>
        <w:gridCol w:w="140"/>
        <w:gridCol w:w="564"/>
        <w:gridCol w:w="161"/>
      </w:tblGrid>
      <w:tr>
        <w:trPr/>
        <w:tc>
          <w:tcPr>
            <w:tcW w:w="6566"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2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r>
          </w:p>
        </w:tc>
        <w:tc>
          <w:tcPr>
            <w:tcW w:w="161" w:type="dxa"/>
            <w:tcBorders/>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w:t>
              <w:br/>
              <w:t>2022</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Cash flows from operating activities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Net income (loss)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18" w:type="dxa"/>
            <w:tcBorders/>
            <w:vAlign w:val="bottom"/>
          </w:tcPr>
          <w:p>
            <w:pPr>
              <w:pStyle w:val="TableContents"/>
              <w:bidi w:val="0"/>
              <w:spacing w:before="0" w:after="283"/>
              <w:jc w:val="right"/>
              <w:rPr/>
            </w:pPr>
            <w:r>
              <w:rPr/>
              <w:t>(672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54" w:type="dxa"/>
            <w:tcBorders/>
            <w:vAlign w:val="bottom"/>
          </w:tcPr>
          <w:p>
            <w:pPr>
              <w:pStyle w:val="TableContents"/>
              <w:bidi w:val="0"/>
              <w:spacing w:before="0" w:after="283"/>
              <w:jc w:val="right"/>
              <w:rPr/>
            </w:pPr>
            <w:r>
              <w:rPr/>
              <w:t>(2,143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1,064</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Adjustments to reconcile net income (loss) to net cash provided (used in) by operations: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Depreciation and amortization</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224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448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525</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Stock-based compensation</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171</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Deferred income taxes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(68</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Asset impairment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Goodwill impairment</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671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(Gain) loss on disposal of assets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Gain on business divestiture</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Gain on sale of investments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Impairment of equity investments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Unrealized foreign exchange (gain) loss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31</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Equity (earnings) loss in investees, net of dividends received</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(51</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Other non-cash operating activities, net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79</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Changes in:</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Accounts receivable, net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(395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(165</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Inventories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Accounts payable</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39</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Accounts payable to related parties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(78</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Accrued expenses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(104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160</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Accrued compensation</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(31</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Other assets and liabilities, net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(469</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Net cash provided by (used in) operating activities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(309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(713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1,151</w:t>
            </w:r>
          </w:p>
        </w:tc>
        <w:tc>
          <w:tcPr>
            <w:tcW w:w="161" w:type="dxa"/>
            <w:tcBorders/>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Cash flows from investing activities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Purchases of property, plant and equipment</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(219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(410</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Proceeds from the sale of property, plant and equipment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Proceeds from disposition of business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25</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Notes receivable issuances to Flash Ventures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(243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(627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(809</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Notes receivable proceeds from Flash Ventures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482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641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718</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Strategic investments and other, net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Net cash provided by (used in) investing activities</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(472</w:t>
            </w:r>
          </w:p>
        </w:tc>
        <w:tc>
          <w:tcPr>
            <w:tcW w:w="161" w:type="dxa"/>
            <w:tcBorders/>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Cash flows from financing activities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Proceeds from principal repayments on Notes due from Parent</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307</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Proceeds from borrowings on Notes due to Parent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199</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Repayments of Principal on Notes due to Parent</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Origination of Notes due from Parent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(223</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Transfers from (to) Parent</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394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676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(933</w:t>
            </w:r>
          </w:p>
        </w:tc>
        <w:tc>
          <w:tcPr>
            <w:tcW w:w="161" w:type="dxa"/>
            <w:tcBorders/>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Net cash provided by (used in) financing activities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860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(650</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Effect of exchange rate changes on cash</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Net increase (decrease) in cash and cash equivalents</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27</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Cash and cash equivalents, beginning of year</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292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335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308</w:t>
            </w:r>
          </w:p>
        </w:tc>
        <w:tc>
          <w:tcPr>
            <w:tcW w:w="161" w:type="dxa"/>
            <w:tcBorders/>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and cash equivalents, end of year</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328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292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335</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120" w:hRule="atLeast"/>
        </w:trPr>
        <w:tc>
          <w:tcPr>
            <w:tcW w:w="6566" w:type="dxa"/>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053" w:type="dxa"/>
            <w:gridSpan w:val="4"/>
            <w:tcBorders/>
            <w:vAlign w:val="center"/>
          </w:tcPr>
          <w:p>
            <w:pPr>
              <w:pStyle w:val="TableContents"/>
              <w:bidi w:val="0"/>
              <w:spacing w:before="0" w:after="283"/>
              <w:jc w:val="left"/>
              <w:rPr>
                <w:sz w:val="4"/>
                <w:szCs w:val="4"/>
              </w:rPr>
            </w:pPr>
            <w:r>
              <w:rPr>
                <w:sz w:val="4"/>
                <w:szCs w:val="4"/>
              </w:rPr>
            </w:r>
          </w:p>
        </w:tc>
      </w:tr>
      <w:tr>
        <w:trPr/>
        <w:tc>
          <w:tcPr>
            <w:tcW w:w="6566" w:type="dxa"/>
            <w:tcBorders/>
          </w:tcPr>
          <w:p>
            <w:pPr>
              <w:pStyle w:val="TableContents"/>
              <w:bidi w:val="0"/>
              <w:spacing w:before="0" w:after="0"/>
              <w:jc w:val="left"/>
              <w:rPr>
                <w:rFonts w:ascii="Times New Roman" w:hAnsi="Times New Roman"/>
                <w:b/>
                <w:sz w:val="19"/>
              </w:rPr>
            </w:pPr>
            <w:r>
              <w:rPr>
                <w:rFonts w:ascii="Times New Roman" w:hAnsi="Times New Roman"/>
                <w:b/>
                <w:sz w:val="19"/>
              </w:rPr>
              <w:t>Supplemental disclosure of cash flow information:</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Non-cash transfers of property, plant and equipment from Parent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13</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Cash paid for interest</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received for interest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w:t>
            </w:r>
          </w:p>
        </w:tc>
        <w:tc>
          <w:tcPr>
            <w:tcW w:w="161" w:type="dxa"/>
            <w:tcBorders/>
            <w:shd w:fill="CCEEFF" w:val="clear"/>
            <w:vAlign w:val="bottom"/>
          </w:tcPr>
          <w:p>
            <w:pPr>
              <w:pStyle w:val="TableContents"/>
              <w:bidi w:val="0"/>
              <w:spacing w:before="0" w:after="283"/>
              <w:jc w:val="left"/>
              <w:rPr/>
            </w:pPr>
            <w:r>
              <w:rPr/>
              <w:t> </w:t>
            </w:r>
          </w:p>
        </w:tc>
      </w:tr>
      <w:tr>
        <w:trPr/>
        <w:tc>
          <w:tcPr>
            <w:tcW w:w="6566" w:type="dxa"/>
            <w:tcBorders/>
          </w:tcPr>
          <w:p>
            <w:pPr>
              <w:pStyle w:val="TableContents"/>
              <w:bidi w:val="0"/>
              <w:spacing w:before="0" w:after="0"/>
              <w:jc w:val="left"/>
              <w:rPr>
                <w:rFonts w:ascii="Times New Roman" w:hAnsi="Times New Roman"/>
                <w:sz w:val="19"/>
              </w:rPr>
            </w:pPr>
            <w:r>
              <w:rPr>
                <w:rFonts w:ascii="Times New Roman" w:hAnsi="Times New Roman"/>
                <w:sz w:val="19"/>
              </w:rPr>
              <w:t>Non-cash transfers of deferred taxes to Parent</w:t>
            </w:r>
          </w:p>
        </w:tc>
        <w:tc>
          <w:tcPr>
            <w:tcW w:w="2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656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Non-cash transfers of Notes due from Parent transferred to Parent</w:t>
            </w:r>
          </w:p>
        </w:tc>
        <w:tc>
          <w:tcPr>
            <w:tcW w:w="23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(316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fin934557_6"/>
      <w:bookmarkEnd w:id="33"/>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COMBINED STATEMENTS OF CHANGES IN PARENT COMPANY NET INVESTMENT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8"/>
        <w:gridCol w:w="345"/>
        <w:gridCol w:w="234"/>
        <w:gridCol w:w="1641"/>
        <w:gridCol w:w="155"/>
        <w:gridCol w:w="292"/>
        <w:gridCol w:w="379"/>
        <w:gridCol w:w="1321"/>
        <w:gridCol w:w="155"/>
        <w:gridCol w:w="292"/>
        <w:gridCol w:w="140"/>
        <w:gridCol w:w="952"/>
        <w:gridCol w:w="161"/>
      </w:tblGrid>
      <w:tr>
        <w:trPr/>
        <w:tc>
          <w:tcPr>
            <w:tcW w:w="4138"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38"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Parent Company</w:t>
              <w:br/>
              <w:t>Net Investment</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July 2, 2021</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b/>
              </w:rPr>
            </w:pPr>
            <w:r>
              <w:rPr>
                <w:b/>
              </w:rPr>
              <w:t>$</w:t>
            </w:r>
          </w:p>
        </w:tc>
        <w:tc>
          <w:tcPr>
            <w:tcW w:w="1641" w:type="dxa"/>
            <w:tcBorders/>
            <w:shd w:fill="CCEEFF" w:val="clear"/>
            <w:vAlign w:val="bottom"/>
          </w:tcPr>
          <w:p>
            <w:pPr>
              <w:pStyle w:val="TableContents"/>
              <w:bidi w:val="0"/>
              <w:spacing w:before="0" w:after="283"/>
              <w:jc w:val="right"/>
              <w:rPr>
                <w:b/>
              </w:rPr>
            </w:pPr>
            <w:r>
              <w:rPr>
                <w:b/>
              </w:rPr>
              <w:t>13,071</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b/>
              </w:rPr>
            </w:pPr>
            <w:r>
              <w:rPr>
                <w:b/>
              </w:rPr>
              <w:t>$</w:t>
            </w:r>
          </w:p>
        </w:tc>
        <w:tc>
          <w:tcPr>
            <w:tcW w:w="1321" w:type="dxa"/>
            <w:tcBorders/>
            <w:shd w:fill="CCEEFF" w:val="clear"/>
            <w:vAlign w:val="bottom"/>
          </w:tcPr>
          <w:p>
            <w:pPr>
              <w:pStyle w:val="TableContents"/>
              <w:bidi w:val="0"/>
              <w:spacing w:before="0" w:after="283"/>
              <w:jc w:val="right"/>
              <w:rPr>
                <w:b/>
              </w:rPr>
            </w:pPr>
            <w:r>
              <w:rPr>
                <w:b/>
              </w:rPr>
              <w:t>(90</w:t>
            </w:r>
          </w:p>
        </w:tc>
        <w:tc>
          <w:tcPr>
            <w:tcW w:w="155" w:type="dxa"/>
            <w:tcBorders/>
            <w:shd w:fill="CCEEFF" w:val="clear"/>
            <w:vAlign w:val="bottom"/>
          </w:tcPr>
          <w:p>
            <w:pPr>
              <w:pStyle w:val="TableContents"/>
              <w:bidi w:val="0"/>
              <w:spacing w:before="0" w:after="283"/>
              <w:jc w:val="left"/>
              <w:rPr>
                <w:b/>
              </w:rPr>
            </w:pPr>
            <w:r>
              <w:rPr>
                <w:b/>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52" w:type="dxa"/>
            <w:tcBorders/>
            <w:shd w:fill="CCEEFF" w:val="clear"/>
            <w:vAlign w:val="bottom"/>
          </w:tcPr>
          <w:p>
            <w:pPr>
              <w:pStyle w:val="TableContents"/>
              <w:bidi w:val="0"/>
              <w:spacing w:before="0" w:after="283"/>
              <w:jc w:val="right"/>
              <w:rPr>
                <w:b/>
              </w:rPr>
            </w:pPr>
            <w:r>
              <w:rPr>
                <w:b/>
              </w:rPr>
              <w:t>12,981</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1,064</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1,064</w:t>
            </w:r>
          </w:p>
        </w:tc>
        <w:tc>
          <w:tcPr>
            <w:tcW w:w="161"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(107</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loss on derivative contracts</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(210</w:t>
            </w:r>
          </w:p>
        </w:tc>
        <w:tc>
          <w:tcPr>
            <w:tcW w:w="161"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171</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171</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 to Parent</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(922</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(922</w:t>
            </w:r>
          </w:p>
        </w:tc>
        <w:tc>
          <w:tcPr>
            <w:tcW w:w="161"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6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July 1, 2022</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b/>
              </w:rPr>
            </w:pPr>
            <w:r>
              <w:rPr>
                <w:b/>
              </w:rPr>
              <w:t>13,384</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b/>
              </w:rPr>
            </w:pPr>
            <w:r>
              <w:rPr>
                <w:b/>
              </w:rPr>
              <w:t>(407</w:t>
            </w:r>
          </w:p>
        </w:tc>
        <w:tc>
          <w:tcPr>
            <w:tcW w:w="155" w:type="dxa"/>
            <w:tcBorders/>
            <w:shd w:fill="CCEEFF" w:val="clear"/>
            <w:vAlign w:val="bottom"/>
          </w:tcPr>
          <w:p>
            <w:pPr>
              <w:pStyle w:val="TableContents"/>
              <w:bidi w:val="0"/>
              <w:spacing w:before="0" w:after="283"/>
              <w:jc w:val="left"/>
              <w:rPr>
                <w:b/>
              </w:rPr>
            </w:pPr>
            <w:r>
              <w:rPr>
                <w:b/>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b/>
              </w:rPr>
            </w:pPr>
            <w:r>
              <w:rPr>
                <w:b/>
              </w:rPr>
              <w:t>12,977</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(2,143</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(2,143</w:t>
            </w:r>
          </w:p>
        </w:tc>
        <w:tc>
          <w:tcPr>
            <w:tcW w:w="161"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(35</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gain on derivative contracts</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99</w:t>
            </w:r>
          </w:p>
        </w:tc>
        <w:tc>
          <w:tcPr>
            <w:tcW w:w="161"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165</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 from Parent</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376</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376</w:t>
            </w:r>
          </w:p>
        </w:tc>
        <w:tc>
          <w:tcPr>
            <w:tcW w:w="161"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6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30, 2023</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b/>
              </w:rPr>
            </w:pPr>
            <w:r>
              <w:rPr>
                <w:b/>
              </w:rPr>
              <w:t>11,782</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b/>
              </w:rPr>
            </w:pPr>
            <w:r>
              <w:rPr>
                <w:b/>
              </w:rPr>
              <w:t>(343</w:t>
            </w:r>
          </w:p>
        </w:tc>
        <w:tc>
          <w:tcPr>
            <w:tcW w:w="155" w:type="dxa"/>
            <w:tcBorders/>
            <w:shd w:fill="CCEEFF" w:val="clear"/>
            <w:vAlign w:val="bottom"/>
          </w:tcPr>
          <w:p>
            <w:pPr>
              <w:pStyle w:val="TableContents"/>
              <w:bidi w:val="0"/>
              <w:spacing w:before="0" w:after="283"/>
              <w:jc w:val="left"/>
              <w:rPr>
                <w:b/>
              </w:rPr>
            </w:pPr>
            <w:r>
              <w:rPr>
                <w:b/>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b/>
              </w:rPr>
            </w:pPr>
            <w:r>
              <w:rPr>
                <w:b/>
              </w:rPr>
              <w:t>11,439</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(672</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(672</w:t>
            </w:r>
          </w:p>
        </w:tc>
        <w:tc>
          <w:tcPr>
            <w:tcW w:w="161"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(43</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loss on derivative contracts</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(66</w:t>
            </w:r>
          </w:p>
        </w:tc>
        <w:tc>
          <w:tcPr>
            <w:tcW w:w="161"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149</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 from Parent</w:t>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275</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275</w:t>
            </w:r>
          </w:p>
        </w:tc>
        <w:tc>
          <w:tcPr>
            <w:tcW w:w="161"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6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28, 2024</w:t>
            </w:r>
          </w:p>
        </w:tc>
        <w:tc>
          <w:tcPr>
            <w:tcW w:w="34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b/>
              </w:rPr>
            </w:pPr>
            <w:r>
              <w:rPr>
                <w:b/>
              </w:rPr>
              <w:t>$</w:t>
            </w:r>
          </w:p>
        </w:tc>
        <w:tc>
          <w:tcPr>
            <w:tcW w:w="1641" w:type="dxa"/>
            <w:tcBorders/>
            <w:shd w:fill="CCEEFF" w:val="clear"/>
            <w:vAlign w:val="bottom"/>
          </w:tcPr>
          <w:p>
            <w:pPr>
              <w:pStyle w:val="TableContents"/>
              <w:bidi w:val="0"/>
              <w:spacing w:before="0" w:after="283"/>
              <w:jc w:val="right"/>
              <w:rPr/>
            </w:pPr>
            <w:r>
              <w:rPr/>
              <w:t> </w:t>
            </w:r>
            <w:r>
              <w:rPr>
                <w:b/>
              </w:rPr>
              <w:t>11,534</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b/>
              </w:rPr>
            </w:pPr>
            <w:r>
              <w:rPr>
                <w:b/>
              </w:rPr>
              <w:t>$</w:t>
            </w:r>
          </w:p>
        </w:tc>
        <w:tc>
          <w:tcPr>
            <w:tcW w:w="1321" w:type="dxa"/>
            <w:tcBorders/>
            <w:shd w:fill="CCEEFF" w:val="clear"/>
            <w:vAlign w:val="bottom"/>
          </w:tcPr>
          <w:p>
            <w:pPr>
              <w:pStyle w:val="TableContents"/>
              <w:bidi w:val="0"/>
              <w:spacing w:before="0" w:after="283"/>
              <w:jc w:val="right"/>
              <w:rPr>
                <w:b/>
              </w:rPr>
            </w:pPr>
            <w:r>
              <w:rPr>
                <w:b/>
              </w:rPr>
              <w:t>(452</w:t>
            </w:r>
          </w:p>
        </w:tc>
        <w:tc>
          <w:tcPr>
            <w:tcW w:w="155" w:type="dxa"/>
            <w:tcBorders/>
            <w:shd w:fill="CCEEFF" w:val="clear"/>
            <w:vAlign w:val="bottom"/>
          </w:tcPr>
          <w:p>
            <w:pPr>
              <w:pStyle w:val="TableContents"/>
              <w:bidi w:val="0"/>
              <w:spacing w:before="0" w:after="283"/>
              <w:jc w:val="left"/>
              <w:rPr>
                <w:b/>
              </w:rPr>
            </w:pPr>
            <w:r>
              <w:rPr>
                <w:b/>
              </w:rPr>
              <w:t>) </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52" w:type="dxa"/>
            <w:tcBorders/>
            <w:shd w:fill="CCEEFF" w:val="clear"/>
            <w:vAlign w:val="bottom"/>
          </w:tcPr>
          <w:p>
            <w:pPr>
              <w:pStyle w:val="TableContents"/>
              <w:bidi w:val="0"/>
              <w:spacing w:before="0" w:after="283"/>
              <w:jc w:val="right"/>
              <w:rPr/>
            </w:pPr>
            <w:r>
              <w:rPr/>
              <w:t> </w:t>
            </w:r>
            <w:r>
              <w:rPr>
                <w:b/>
              </w:rPr>
              <w:t>11,082</w:t>
            </w:r>
          </w:p>
        </w:tc>
        <w:tc>
          <w:tcPr>
            <w:tcW w:w="161" w:type="dxa"/>
            <w:tcBorders/>
            <w:shd w:fill="CCEEFF" w:val="clear"/>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6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fin934557_7"/>
      <w:bookmarkEnd w:id="34"/>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1. Organization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Combined Financial Statements present, on a historical cost basis, the combined assets, liabilities, revenues and expenses of the flash business of Western Digital Corporation (the Business), a business of Western Digital Corporation and its subsidiaries (collectively WDC or Parent). The Business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The Business operates primarily in the U.S. and internationally with a significant concentration in Asia Pacific. On October 30, 2023, our Parent announced that its board of directors (the WDC Board of Directors) authorized management to pursue a plan to separate the Business into an independent public company. The completion of the separation is subject to certain conditions, including final approval by the WDC Board of Directors. Our Parent is targeting to complete the separation of the Business in the second half of calendar year 2024. </w:t>
      </w:r>
    </w:p>
    <w:p>
      <w:pPr>
        <w:pStyle w:val="TextBody"/>
        <w:bidi w:val="0"/>
        <w:spacing w:before="240" w:after="0"/>
        <w:jc w:val="left"/>
        <w:rPr>
          <w:rFonts w:ascii="Times New Roman" w:hAnsi="Times New Roman"/>
          <w:sz w:val="20"/>
        </w:rPr>
      </w:pPr>
      <w:r>
        <w:rPr>
          <w:rFonts w:ascii="Times New Roman" w:hAnsi="Times New Roman"/>
          <w:sz w:val="20"/>
        </w:rPr>
        <w:t xml:space="preserve">The Businesss solutions include a broad range of solid-state drives, embedded products, removable cards, universal serial bus drives and wafers and components. The Businesss broad portfolio of technology and products address multiple end markets of Cloud, Client and Consumer. The Business also generates license and royalty revenue from its extensive intellectual property (IP) portfolio, which is included in each of these three end market categories.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when using the terms we, us, or our throughout this report, it is in reference to the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Throughout the periods covered by the Combined Financial Statements, the Business was an operating segment of WDC. Consequently, stand-alone financial statements have not historically been prepared for the Business. The accompanying Combined Financial Statements have been prepared from WDCs historical consolidated financial statements and accounting records and are presented on a stand-alone basis as if the Businesss operations had been conducted independently from WDC. The Combined Financial Statements include the historical results of operations, financial position and cash flows of the Business in accordance with accounting principles generally accepted in the United States (GAAP) and the Business has adopted accounting policies and practices which are generally accepted in the industry in which it operates. As no single legal entity of the Business has a controlling financial interest in all other legal entities, Combined Financial Statements have been prepared. </w:t>
      </w:r>
    </w:p>
    <w:p>
      <w:pPr>
        <w:pStyle w:val="TextBody"/>
        <w:bidi w:val="0"/>
        <w:spacing w:before="240" w:after="0"/>
        <w:jc w:val="left"/>
        <w:rPr>
          <w:rFonts w:ascii="Times New Roman" w:hAnsi="Times New Roman"/>
          <w:sz w:val="20"/>
        </w:rPr>
      </w:pPr>
      <w:r>
        <w:rPr>
          <w:rFonts w:ascii="Times New Roman" w:hAnsi="Times New Roman"/>
          <w:sz w:val="20"/>
        </w:rPr>
        <w:t xml:space="preserve">Intercompany transactions have been eliminated. With the exception of balances associated with lending arrangements reflected within Notes due to (from) Parent in the Combined Balance Sheets, transactions between the Business and the Parent are generally considered to be effectively settled in the Combined Financial Statements at the time the transactions are recorded. The total net effect of the settlement of these transactions is reflected in the Combined Statements of Cash Flows as a financing activity and in the Combined Balance Sheets as Parent company net investment. General financing activities include the net impact of any cash movements resulting from the Parents centralized treasury cash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Combined Statements of Operations and Comprehensive Income (Loss) include all revenues and costs directly attributable to the Business as well as an allocation of expenses related to facilities, functions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services provided by our Parent. Allocation of general corporate expenses from our Parent include, but are not limited to, executive management, finance, tax, legal, information technology, employee benefits administration, treasury, risk management, procurement and other shared services. These corporate expenses have been allocated to the Business based on direct usage or benefit, where identifiable, with the remainder allocated based on headcount, revenue or other relevant measures. The allocated costs are deemed to be settled between the Business and the Parent in the period in which the expense was recorded in the Combined Statements of Operations. The Combined Statements of Cash Flows present these corporate expenses as cash flows from operating activities, as these costs were incurred by our Parent on our behalf. We consider these allocations to be a reasonable reflection of the utilization of services by, or the benefits provided to, the Business. The allocations may not, however, reflect the expense the Business would have incurred as a standalone company for the periods presented. Additionally, these costs may not be indicative of the expenses that the Business will incur in the future or would have incurred if the Business had obtained these services from an unrelated third party. It is not practicable to estimate the actual costs that would have been incurred had the Business been a standalone company during the periods presented. The actual costs that may have been incurred would depend on a number of factors, including the chosen organizational structure, whether functions were outsourced or performed by employees and decisions with respect to areas such as facilities, information technology and operating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Our Parent maintains various stock-based compensation plans at a corporate level. Employees of the Business participate in those programs and a portion of the compensation cost associated with those plans is included in the Businesss Combined Statements of Operations. Stock-based compensation expense has been included within Parent company net investment. The amounts presented in the Combined Financial Statements are not necessarily indicative of future awards and may not reflect the results that the Business would have experienced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Current and deferred income taxes and related tax expense have been determined based on the stand-alone results of the Business by applying Accounting Standards Codification No. 740, Income Taxes (ASC 740), to the Businesss operations in each country as if it were a separate taxpayer (i.e., following the Separate Return Methodology). </w:t>
      </w:r>
    </w:p>
    <w:p>
      <w:pPr>
        <w:pStyle w:val="TextBody"/>
        <w:bidi w:val="0"/>
        <w:spacing w:before="240" w:after="0"/>
        <w:jc w:val="left"/>
        <w:rPr>
          <w:rFonts w:ascii="Times New Roman" w:hAnsi="Times New Roman"/>
          <w:sz w:val="20"/>
        </w:rPr>
      </w:pPr>
      <w:r>
        <w:rPr>
          <w:rFonts w:ascii="Times New Roman" w:hAnsi="Times New Roman"/>
          <w:sz w:val="20"/>
        </w:rPr>
        <w:t xml:space="preserve">The Combined Balance Sheets include all assets and liabilities that are specifically identifiable or otherwise attributable to the Business. Assets and liabilities shared between the Business and the Parent were included in the stand-alone financial statements to the extent the asset is primarily used by the Business. If the Business is not the primary user of the asset, it was excluded entirely from the Combined Financial Statements. The Parent has historically used a centralized approach to cash management and financing of its operations, as needed. Certain of our cash is transferred to the Parent according to centrally managed cash programs by treasury and the Parent funds our operating and investing activities as needed. Cash transfers to and from the Parents cash management accounts are reflected as a component of Parent company net investment in the Combined Balance Sheets. Cash and cash equivalents in our Combined Balance Sheets primarily represent cash held locally by entities included in our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None of the debt obligations of the Parent or corresponding interest expense have been included in the accompanying Combined Financial Statements, as the Business is neither the legal obligor, nor transferee for any portion of such debt. Our Parents debt obligations are secured by a lien on substantially all assets and properties of WDC and certain key subsidiaries, which includes assets and properties of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Businesss fiscal year ends on the Friday nearest to June 30 and typically consists of 52 weeks. Approximately every five to six years, we report a 53-week fiscal year to align the fiscal year with the foregoing policy. Fiscal years 2024, 2023 and 2022 which ended on June 28, 2024, June 30, 2023, and July 1, 2022, respectively, are comprised of 52 weeks, with all quarters presented consisting of 13 weeks. Unless otherwise indicated, references herein to specific years and quarters are to fiscal years and fiscal quarters, and references to financial information are on a combined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components of an enterprise for which separate financial information is available and is evaluated regularly by the companys chief operating decision maker (CODM) in deciding how to allocate resources and in assessing performance. The Business currently operates as both a single operating and reportable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Separation Costs </w:t>
      </w:r>
    </w:p>
    <w:p>
      <w:pPr>
        <w:pStyle w:val="TextBody"/>
        <w:bidi w:val="0"/>
        <w:spacing w:before="120" w:after="0"/>
        <w:jc w:val="left"/>
        <w:rPr>
          <w:rFonts w:ascii="Times New Roman" w:hAnsi="Times New Roman"/>
          <w:sz w:val="20"/>
        </w:rPr>
      </w:pPr>
      <w:r>
        <w:rPr>
          <w:rFonts w:ascii="Times New Roman" w:hAnsi="Times New Roman"/>
          <w:sz w:val="20"/>
        </w:rPr>
        <w:t xml:space="preserve">On October 30, 2023, our Parent announced that its Board of Directors had completed its strategic review and, after evaluating a comprehensive range of alternatives, authorized WDC to pursue a plan to separate its Hard Disk Drive (HDD) and Flash business units to create two independent, public companies. As a result of the plan, the Business has incurred separation and transition costs and expects to incur such costs through the completion of the separation from WDC. The separation and transition costs are recorded within Business separation costs in the Combined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Businesss cash equivalents represent highly liquid investments in money market funds, which are invested in U.S. Treasury securities and U.S. Government agency securities as well as bank certificates of deposit with original maturities at purchase of three months or less. These deposits are typically in excess of U.S. insured limits. Cash equivalents are carried at cost plus accrued interest, which approximates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Business enters into certain strategic investments for the promotion of business and strategic objectives. The equity method of accounting is used if the Businesss ownership interest is greater than or equal to 20.0% but less than a majority or where the Business has the ability to exercise significant influence over operating and financial policies. The Businesss equity in the earnings or losses in equity-method investments is recognized in Other income (expense), net, in the Combined Statements of Operations. Equity earnings or losses in the Businesss investments in Flash Ventures (as defined in Note 9) are reported on a three-month lag.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Businesss ownership interest is less than 20.0% and the Business does not have the ability to exercise significant influence over operating and financial policies of the investee, the Business accounts for these investments at fair value, or if these equity securities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These investments are recorded within Other non-current assets in the Combined Balance Sheets and are periodically analyzed to determine whether or not impairment indicators exist.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Variable Interest Entities </w:t>
      </w:r>
    </w:p>
    <w:p>
      <w:pPr>
        <w:pStyle w:val="TextBody"/>
        <w:bidi w:val="0"/>
        <w:spacing w:before="120" w:after="0"/>
        <w:jc w:val="left"/>
        <w:rPr>
          <w:rFonts w:ascii="Times New Roman" w:hAnsi="Times New Roman"/>
          <w:sz w:val="20"/>
        </w:rPr>
      </w:pPr>
      <w:r>
        <w:rPr>
          <w:rFonts w:ascii="Times New Roman" w:hAnsi="Times New Roman"/>
          <w:sz w:val="20"/>
        </w:rPr>
        <w:t xml:space="preserve">The Business evaluates its investments and other significant relationships to determine whether any investee is a variable interest entity (VIE). If the Business concludes that an investee is a VIE, the Business evaluates its power to direct the activities of the investee, its obligation to absorb the expected losses of the investee and its right to receive the expected residual returns of the investee to determine whether the Business is the primary beneficiary of the investee. If the Business is the primary beneficiary of a VIE, the Business consolidates such entity and reflects the non-controlling interest of other beneficiaries of that entity. The Business does not have any investments in variable interest entities requiring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amounts of cash equivalents, accounts receivable, accounts payable and accrued expenses approximate fair value for all periods presented because of the short-term maturity of these assets and liabilities. The carrying value of notes receivable from Flash Ventures (as defined in Note 9) also approximates fair value for all periods presented because they bear variable market rates of interest. The fair value of investments that are not accounted for under the equity method is based on appropriate market information. The carrying amounts of Notes due to Parent and Notes due from Parent approximate their fair value as the notes are due on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The Business values inventories at the lower of cost (first-in, first-out) or net realizable value. Inventory write-downs are recorded for the valuation of inventory at the lower of cost or net realizable value by analyzing market conditions and estimates of future sales prices as compared to inventory costs and inventory balances. </w:t>
      </w:r>
    </w:p>
    <w:p>
      <w:pPr>
        <w:pStyle w:val="TextBody"/>
        <w:bidi w:val="0"/>
        <w:spacing w:before="240" w:after="0"/>
        <w:jc w:val="left"/>
        <w:rPr>
          <w:rFonts w:ascii="Times New Roman" w:hAnsi="Times New Roman"/>
          <w:sz w:val="20"/>
        </w:rPr>
      </w:pPr>
      <w:r>
        <w:rPr>
          <w:rFonts w:ascii="Times New Roman" w:hAnsi="Times New Roman"/>
          <w:sz w:val="20"/>
        </w:rPr>
        <w:t xml:space="preserve">The Business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Businesss products, which may require a write-down of inventory that could materially affect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carried at cost less accumulated depreciation. The cost of property, plant and equipment is depreciated over the estimated useful lives of the respective assets. The Businesss buildings and improvements are depreciated over periods ranging from fifteen to thirty years. The majority of the Businesss machinery and equipment, software and furniture and fixtures, are depreciated on a straight-line basis over a period of two to seven years. Leasehold improvements are amortized over the lesser of the estimated useful lives of the assets or the related lease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Goodwill and Other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Goodwill attributed to the Business represents the amount by which the purchase price of businesses acquired in a business combination exceeded the estimated fair value of acquired net assets. </w:t>
      </w:r>
    </w:p>
    <w:p>
      <w:pPr>
        <w:pStyle w:val="TextBody"/>
        <w:bidi w:val="0"/>
        <w:spacing w:before="240" w:after="0"/>
        <w:jc w:val="left"/>
        <w:rPr>
          <w:rFonts w:ascii="Times New Roman" w:hAnsi="Times New Roman"/>
          <w:sz w:val="20"/>
        </w:rPr>
      </w:pPr>
      <w:r>
        <w:rPr>
          <w:rFonts w:ascii="Times New Roman" w:hAnsi="Times New Roman"/>
          <w:sz w:val="20"/>
        </w:rPr>
        <w:t xml:space="preserve">Goodwill is not amortized. Instead, it is tested for impairment on an annual basis or more frequently whenever events or changes in circumstances indicate that goodwill may be impaired. The Business performs an annual impairment test as of the beginning of its fourth quarter or sooner if an indicator of impairment exists. The Business uses qualitative factors to determine whether goodwill is more likely than not impaired and whether a quantitative test for impairment is considered necessary. If the Business concludes from the qualitative assessment that goodwill is more likely than not impaired, the Business is required to perform a quantitative approach to determine the amount of impairment. </w:t>
      </w:r>
    </w:p>
    <w:p>
      <w:pPr>
        <w:pStyle w:val="TextBody"/>
        <w:bidi w:val="0"/>
        <w:spacing w:before="240" w:after="0"/>
        <w:jc w:val="left"/>
        <w:rPr>
          <w:rFonts w:ascii="Times New Roman" w:hAnsi="Times New Roman"/>
          <w:sz w:val="20"/>
        </w:rPr>
      </w:pPr>
      <w:r>
        <w:rPr>
          <w:rFonts w:ascii="Times New Roman" w:hAnsi="Times New Roman"/>
          <w:sz w:val="20"/>
        </w:rPr>
        <w:t xml:space="preserve">The Business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Businesss assessment of the fair value and goodwill impairment. </w:t>
      </w:r>
    </w:p>
    <w:p>
      <w:pPr>
        <w:pStyle w:val="TextBody"/>
        <w:bidi w:val="0"/>
        <w:spacing w:before="240" w:after="0"/>
        <w:jc w:val="left"/>
        <w:rPr>
          <w:rFonts w:ascii="Times New Roman" w:hAnsi="Times New Roman"/>
          <w:sz w:val="20"/>
        </w:rPr>
      </w:pPr>
      <w:r>
        <w:rPr>
          <w:rFonts w:ascii="Times New Roman" w:hAnsi="Times New Roman"/>
          <w:sz w:val="20"/>
        </w:rPr>
        <w:t xml:space="preserve">The Businesss assessment resulted in no impairment of goodwill in fiscal years 2024 and 2022. In fiscal year 2023, certain macroeconomic conditions caused the Business to perform a quantitative impairment analysis which resulted in a $671 million impairment of goodwill for the fiscal year ended June 30, 2023. See Note 5, </w:t>
      </w:r>
      <w:r>
        <w:rPr>
          <w:rFonts w:ascii="Times New Roman" w:hAnsi="Times New Roman"/>
          <w:i/>
          <w:sz w:val="20"/>
        </w:rPr>
        <w:t>Supplemental Financial Statement Data</w:t>
      </w:r>
      <w:r>
        <w:rPr>
          <w:rFonts w:ascii="Times New Roman" w:hAnsi="Times New Roman"/>
          <w:sz w:val="20"/>
        </w:rPr>
        <w:t xml:space="preserve">, for additional disclosures related to the goodwill impairment assessment that was performed. </w:t>
      </w:r>
    </w:p>
    <w:p>
      <w:pPr>
        <w:pStyle w:val="TextBody"/>
        <w:bidi w:val="0"/>
        <w:spacing w:before="240" w:after="0"/>
        <w:jc w:val="left"/>
        <w:rPr>
          <w:rFonts w:ascii="Times New Roman" w:hAnsi="Times New Roman"/>
          <w:sz w:val="20"/>
        </w:rPr>
      </w:pPr>
      <w:r>
        <w:rPr>
          <w:rFonts w:ascii="Times New Roman" w:hAnsi="Times New Roman"/>
          <w:sz w:val="20"/>
        </w:rPr>
        <w:t xml:space="preserve">Other long-lived assets are depreciated or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 See Note 5, </w:t>
      </w:r>
      <w:r>
        <w:rPr>
          <w:rFonts w:ascii="Times New Roman" w:hAnsi="Times New Roman"/>
          <w:i/>
          <w:sz w:val="20"/>
        </w:rPr>
        <w:t>Supplemental Financial Statement Data</w:t>
      </w:r>
      <w:r>
        <w:rPr>
          <w:rFonts w:ascii="Times New Roman" w:hAnsi="Times New Roman"/>
          <w:sz w:val="20"/>
        </w:rPr>
        <w:t xml:space="preserve">, for additional disclosures related to the Businesss other intangible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and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Business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Businesss performance obligations are typically not constrained based on the Businesss history with similar transactions and the fact that uncertainties are resolved in a fairly short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of the Businesss revenue is from the sale of tangible products for which the performance obligations are satisfied at a point in time, generally upon delivery. The Businesss services revenue mainly includes professional service arrangements and post contract customer support, warranty as a service and maintenance contracts and was not material for the periods presented. The performance obligations for the Businesss services are generally satisfied ratably over the service period based on the nature of the service provided and contract terms. Similarly, revenue from patent licensing arrangements is recognized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Business estimates and recognizes revenue in the period in which customers licensable sales occur. </w:t>
      </w:r>
    </w:p>
    <w:p>
      <w:pPr>
        <w:pStyle w:val="TextBody"/>
        <w:bidi w:val="0"/>
        <w:spacing w:before="240" w:after="0"/>
        <w:jc w:val="left"/>
        <w:rPr>
          <w:rFonts w:ascii="Times New Roman" w:hAnsi="Times New Roman"/>
          <w:sz w:val="20"/>
        </w:rPr>
      </w:pPr>
      <w:r>
        <w:rPr>
          <w:rFonts w:ascii="Times New Roman" w:hAnsi="Times New Roman"/>
          <w:sz w:val="20"/>
        </w:rPr>
        <w:t xml:space="preserve">The Businesss customer payment terms are typically less than two months from the date control over the product or service is transferred to the customer. The Business uses the practical expedient and does not recognize a significant financing component for payment considerations of less than one year. The financing components of contracts with payment terms were not material. </w:t>
      </w:r>
    </w:p>
    <w:p>
      <w:pPr>
        <w:pStyle w:val="TextBody"/>
        <w:bidi w:val="0"/>
        <w:spacing w:before="240" w:after="0"/>
        <w:jc w:val="left"/>
        <w:rPr>
          <w:rFonts w:ascii="Times New Roman" w:hAnsi="Times New Roman"/>
          <w:sz w:val="20"/>
        </w:rPr>
      </w:pPr>
      <w:r>
        <w:rPr>
          <w:rFonts w:ascii="Times New Roman" w:hAnsi="Times New Roman"/>
          <w:sz w:val="20"/>
        </w:rPr>
        <w:t xml:space="preserve">The Business provides distributors and retailers, which we refer to collectively as resellers, with limited price protection for inventories held by resellers at the time of published list price reductions. The Business also provides resellers and original equipment manufacturers (OEMs) with other sales incentive programs. The Business records estimated variable consideration related to these items as a reduction to revenue at the time of revenue recognition. The Business uses judgment in its assessment of variable consideration in contracts to be included in the transaction price. The Business uses the expected value method to arrive at the amount of variable consideration. The Business constrains variable consideration until the likelihood of a significant revenue reversal is not probable and believes that the expected value method is the appropriate estimate of the amount of variable consideration based on the fact that the Business has a large number of contracts with similar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For sales to OEMs, the Businesss methodology for estimating variable consideration is based on the amount of consideration expected to be earned based on the OEMs volume of purchases from the Business or other agreed-upon sales incentive programs. For sales to resellers, the Businesss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 </w:t>
      </w:r>
    </w:p>
    <w:p>
      <w:pPr>
        <w:pStyle w:val="TextBody"/>
        <w:bidi w:val="0"/>
        <w:spacing w:before="240" w:after="0"/>
        <w:jc w:val="left"/>
        <w:rPr>
          <w:rFonts w:ascii="Times New Roman" w:hAnsi="Times New Roman"/>
          <w:sz w:val="20"/>
        </w:rPr>
      </w:pPr>
      <w:r>
        <w:rPr>
          <w:rFonts w:ascii="Times New Roman" w:hAnsi="Times New Roman"/>
          <w:sz w:val="20"/>
        </w:rPr>
        <w:t xml:space="preserve">Marketing development program costs are typically recorded as a reduction of the transaction price and, therefore, of revenue. The Business nets sales rebates against open customer receivable balances if the criteria to offset are met, otherwise they are recorded within other accrued liabilities. </w:t>
      </w:r>
    </w:p>
    <w:p>
      <w:pPr>
        <w:pStyle w:val="TextBody"/>
        <w:bidi w:val="0"/>
        <w:spacing w:before="240" w:after="0"/>
        <w:jc w:val="left"/>
        <w:rPr>
          <w:rFonts w:ascii="Times New Roman" w:hAnsi="Times New Roman"/>
          <w:sz w:val="20"/>
        </w:rPr>
      </w:pPr>
      <w:r>
        <w:rPr>
          <w:rFonts w:ascii="Times New Roman" w:hAnsi="Times New Roman"/>
          <w:sz w:val="20"/>
        </w:rPr>
        <w:t xml:space="preserve">For contracts with multiple performance obligations, the Business evaluates whether each deliverable is a distinct promise and should be accounted for as a separate performance obligation. If a promised good or service is not distinct in accordance with the revenue guidance, the Business combines that good or service with the other promised goods or services in the arrangement until a distinct bundle of goods is identified. If applicable, the Business allocates the transaction price to the performance obligations of each distinct product or service, or distinct bundle, based on their relative standalone selling prices. </w:t>
      </w:r>
    </w:p>
    <w:p>
      <w:pPr>
        <w:pStyle w:val="TextBody"/>
        <w:bidi w:val="0"/>
        <w:spacing w:before="240" w:after="0"/>
        <w:jc w:val="left"/>
        <w:rPr>
          <w:rFonts w:ascii="Times New Roman" w:hAnsi="Times New Roman"/>
          <w:sz w:val="20"/>
        </w:rPr>
      </w:pPr>
      <w:r>
        <w:rPr>
          <w:rFonts w:ascii="Times New Roman" w:hAnsi="Times New Roman"/>
          <w:sz w:val="20"/>
        </w:rPr>
        <w:t xml:space="preserve">The Business records an allowance for doubtful accounts by analyzing specific customer accounts and assessing the risk of loss based on insolvency or other collection issues. In addition, the Business routinely analyzes the various receivable aging categories to establish reserves based on a combination of past due receivables and expected future losses. If the financial condition of a significant customer deteriorates resulting in its inability to pay its accounts when due, or if the Businesss overall loss trajectory changes significantly, an adjustment in the Businesss allowance for doubtful accounts would be required, which could materially affect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Warranty </w:t>
      </w:r>
    </w:p>
    <w:p>
      <w:pPr>
        <w:pStyle w:val="TextBody"/>
        <w:bidi w:val="0"/>
        <w:spacing w:before="120" w:after="0"/>
        <w:jc w:val="left"/>
        <w:rPr>
          <w:rFonts w:ascii="Times New Roman" w:hAnsi="Times New Roman"/>
          <w:sz w:val="20"/>
        </w:rPr>
      </w:pPr>
      <w:r>
        <w:rPr>
          <w:rFonts w:ascii="Times New Roman" w:hAnsi="Times New Roman"/>
          <w:sz w:val="20"/>
        </w:rPr>
        <w:t xml:space="preserve">The Business records an accrual for estimated warranty costs when revenue is recognized. The Business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Business uses the estimated useful life of the product to calculate the warranty exposure. A statistical warranty tracking model is used to help prepare estimates and assist the Business in exercising judgment in determining the underlying estimates. The statistical tracking model captures specific details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and Other Contingencies </w:t>
      </w:r>
    </w:p>
    <w:p>
      <w:pPr>
        <w:pStyle w:val="TextBody"/>
        <w:bidi w:val="0"/>
        <w:spacing w:before="120" w:after="0"/>
        <w:jc w:val="left"/>
        <w:rPr>
          <w:rFonts w:ascii="Times New Roman" w:hAnsi="Times New Roman"/>
          <w:sz w:val="20"/>
        </w:rPr>
      </w:pPr>
      <w:r>
        <w:rPr>
          <w:rFonts w:ascii="Times New Roman" w:hAnsi="Times New Roman"/>
          <w:sz w:val="20"/>
        </w:rPr>
        <w:t xml:space="preserve">When the Business becomes aware of a claim or potential claim, the Business assesses the likelihood of any loss or exposure. The Business discloses information regarding each material claim where the likelihood of a loss contingency is probable or reasonably possible. If a loss contingency is probable and the amount of the loss can be reasonably estimated, the Business records an accrual for the loss. In such cases, there may be an exposure to potential loss in excess of the amount accrued. Where a loss is not probable but is reasonably possible or where a loss in excess of the amount accrued is reasonably possible, the Business discloses an estimate of the amount of the loss or range of possible losses for the claim if a reasonable estimate can be made, unless the amount of such reasonably possible losses is not material to the Businesss financial position, results of operations or cash flows. The ability to predict the ultimate outcome of such matters involves judgments, estimates and inherent uncertainties. The actual outcome of such matters could differ materially from managements estimates. See Note 14, </w:t>
      </w:r>
      <w:r>
        <w:rPr>
          <w:rFonts w:ascii="Times New Roman" w:hAnsi="Times New Roman"/>
          <w:i/>
          <w:sz w:val="20"/>
        </w:rPr>
        <w:t>Legal Proceedings,</w:t>
      </w:r>
      <w:r>
        <w:rPr>
          <w:rFonts w:ascii="Times New Roman" w:hAnsi="Times New Roman"/>
          <w:sz w:val="20"/>
        </w:rPr>
        <w:t xml:space="preserve"> for additional disclosures related to the Businesss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Expense </w:t>
      </w:r>
    </w:p>
    <w:p>
      <w:pPr>
        <w:pStyle w:val="TextBody"/>
        <w:bidi w:val="0"/>
        <w:spacing w:before="120" w:after="0"/>
        <w:jc w:val="left"/>
        <w:rPr>
          <w:rFonts w:ascii="Times New Roman" w:hAnsi="Times New Roman"/>
          <w:sz w:val="20"/>
        </w:rPr>
      </w:pPr>
      <w:r>
        <w:rPr>
          <w:rFonts w:ascii="Times New Roman" w:hAnsi="Times New Roman"/>
          <w:sz w:val="20"/>
        </w:rPr>
        <w:t xml:space="preserve">Advertising costs are expensed as incurred and amounted to $31 million, $35 million and $47 million in 2024, 2023 and 2022, respectively. These expenses are included in Selling, general and administrative in the Combined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(R&amp;D) expenditures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are calculated as if the Business files tax returns on a stand-alone basis separate from the Parent. The Business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Business records a valuation allowance when it is more likely than not that the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tax assets will not be realized. Each quarter, the Business evaluates the need for a valuation allowance for its deferred tax assets and adjusts the valuation allowance so that the Business records net deferred tax assets only to the extent that it has concluded it is more likely than not that these deferred tax assets will be realized. The Business accounts for interest and penalties related to income taxes as a component of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Business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Businesss estimates, which could result in the need to record additional liabilities for unrecognized tax benefits or potentially adjust previously recorded liabilities for unrealized tax benefits and may materially affect the Businesss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Businesss employees have historically participated in Parents stock-based compensation programs. Stock-based compensation expense has been attributed to the Business based on the awards and terms previously granted to the Businesss direct employees, as well as an allocation of Parents corporate and shared functional employee expenses.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of the Business have been granted restricted stock or restricted stock units under which shares of the Parents common stock vest based on the passage of time or achievement of performance and market conditions. Under the Parents Employee Stock Purchase Plan (ESPP), eligible employees may authorize payroll deductions of up to 10% of their eligible compensation. The fair value of ESPP purchase rights issued is estimated at the date of grant of the purchase rights using the Black-Scholes-Merton option-pricing model. The Black-Scholes-Merton option-pricing model requires the input of assumptions such as the expected stock price volatility and the expected period until options are exercised. Purchase rights under the ESPP are generally granted on either June 1st or December 1st of each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Comprehensive Income (Loss), Net of Tax </w:t>
      </w:r>
    </w:p>
    <w:p>
      <w:pPr>
        <w:pStyle w:val="TextBody"/>
        <w:bidi w:val="0"/>
        <w:spacing w:before="120" w:after="0"/>
        <w:jc w:val="left"/>
        <w:rPr>
          <w:rFonts w:ascii="Times New Roman" w:hAnsi="Times New Roman"/>
          <w:sz w:val="20"/>
        </w:rPr>
      </w:pPr>
      <w:r>
        <w:rPr>
          <w:rFonts w:ascii="Times New Roman" w:hAnsi="Times New Roman"/>
          <w:sz w:val="20"/>
        </w:rPr>
        <w:t xml:space="preserve">Other comprehensive income (loss), net of tax refers to gains and losses that are recorded as an element of equity but are excluded from net income (loss). The Businesss other comprehensive income (loss), net of tax is primarily comprised of unrealized gains or losses on foreign exchange contracts designated as cash flow hedges and foreign currency translation.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Derivative Contracts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the Businesss transactions are in U.S. dollars; however, some transactions are based in various foreign currencies. The Business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Businesss results of operations. Substantially all of these contract maturity dates do not exceed 12 months. All foreign exchange contracts are for risk management purposes only. The Business does not purchase foreign exchange contracts for speculative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trading purposes. The Business had foreign exchange contracts with commercial banks for European euro, Canadian dollar, Japanese yen, Malaysian ringgit, Korean won and Israeli shekel, which had an aggregate notional amount of $2.9 billion and $4.2 billion at June 28, 2024 and June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Hedge effectiveness is measured by comparing the hedging instruments cumulative change in fair value from inception to maturity to the underlying exposures terminal value. The Business determined the ineffectiveness associated with its cash flow hedges to be immaterial to the Combined Financial Statements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A change in the fair value of undesignated hedges is recognized in earnings in the period incurred and is reported in other income (expense), net.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Business leases certain domestic and international facilities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Businesss incremental borrowing rate. Operating lease assets also include prepaid lease payments minus any lease incentives. Extension or termination options present in the Businesss lease agreements are included in determining the right-of-use asset and lease liability when it is reasonably certain the Business will exercise that option. Lease expense is recognized on a straight-line basis over the lease term. </w:t>
      </w:r>
    </w:p>
    <w:p>
      <w:pPr>
        <w:pStyle w:val="TextBody"/>
        <w:bidi w:val="0"/>
        <w:spacing w:before="360" w:after="0"/>
        <w:jc w:val="left"/>
        <w:rPr>
          <w:rFonts w:ascii="Times New Roman" w:hAnsi="Times New Roman"/>
          <w:b/>
          <w:sz w:val="20"/>
        </w:rPr>
      </w:pPr>
      <w:r>
        <w:rPr>
          <w:rFonts w:ascii="Times New Roman" w:hAnsi="Times New Roman"/>
          <w:b/>
          <w:sz w:val="20"/>
        </w:rPr>
        <w:t xml:space="preserve">Note 2. Recent Accounting Pronouncements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Accounting Pronouncements Recently Adopted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the Financial Accounting Standards Board (FASB)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The ASU requires the Business to provide disclosure of outstanding obligations to such suppliers for all balance sheet dates presented beginning with the Businesss first quarter of 2024 and to provide certain rollforward information related to those obligations beginning in the Businesss first fiscal quarter of 2025, with early adoption permitted. The ASU does not affect the recognition, measurement or financial statement presentation of supplier finance program obligations. The Business adopted the guidance on the first day of fiscal year 2024 and the adoption did not have a material impact on its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Segment Reporting (Topic 280): Improvements to Reportable Segment Disclosures, which expands on segment reporting requirements primarily through enhanced disclosures surrounding significant segment expenses. The ASU expands on existing segment reporting requirements to require that a public entity disclose, on an annual and interim basis, significant segment expenses that are regularly provided to an entitys CODM, a description of other segment items by reportable segment,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any additional measures of a segments profit or loss used by the CODM when deciding how to allocate resources. These incremental disclosures will be required beginning with the Businesss financial statements for the year ending June 27, 2025. The Business expects to provide any required disclosures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The ASU calls for enhanced income tax disclosure requirements surrounding the tabular rate reconciliation and income taxes paid. The amendments are effective for the Businesss fiscal year 2026, with early adoption permitted. The Business is currently compiling the information required for these disclosures. These incremental disclosures will be required beginning with the Businesss financial statements for the year ending June 27, 2025. The Business expects to provide any required disclosures at that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Note 3. Geographic Information and Concentrations of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Disaggregated Revenue </w:t>
      </w:r>
    </w:p>
    <w:p>
      <w:pPr>
        <w:pStyle w:val="TextBody"/>
        <w:bidi w:val="0"/>
        <w:spacing w:before="120" w:after="0"/>
        <w:jc w:val="left"/>
        <w:rPr>
          <w:rFonts w:ascii="Times New Roman" w:hAnsi="Times New Roman"/>
          <w:sz w:val="20"/>
        </w:rPr>
      </w:pPr>
      <w:r>
        <w:rPr>
          <w:rFonts w:ascii="Times New Roman" w:hAnsi="Times New Roman"/>
          <w:sz w:val="20"/>
        </w:rPr>
        <w:t xml:space="preserve">The Businesss broad portfolio of technology and products addresses multiple end markets. Cloud represents a large and growing end market comprised primarily of products for public or private cloud environments and enterprise customers. Through the Client end market, the Business provides its OEM and channel customers a broad array of high-performance flash solutions across personal computer, mobile, gaming, automotive, virtual reality headsets, at-home entertainment and industrial spaces. The Consumer end market is highlighted by the Businesss broad range of retail and other end-user products, which capitalize on the strength of the Businesss product brand recognition and vast points of presence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The Businesss disaggregated revenue information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44"/>
        <w:gridCol w:w="337"/>
        <w:gridCol w:w="142"/>
        <w:gridCol w:w="569"/>
        <w:gridCol w:w="60"/>
        <w:gridCol w:w="337"/>
        <w:gridCol w:w="142"/>
        <w:gridCol w:w="569"/>
        <w:gridCol w:w="60"/>
        <w:gridCol w:w="337"/>
        <w:gridCol w:w="142"/>
        <w:gridCol w:w="569"/>
        <w:gridCol w:w="64"/>
      </w:tblGrid>
      <w:tr>
        <w:trPr/>
        <w:tc>
          <w:tcPr>
            <w:tcW w:w="5244"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4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927" w:type="dxa"/>
            <w:gridSpan w:val="10"/>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by end market</w:t>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Cloud</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1,264</w:t>
            </w:r>
          </w:p>
        </w:tc>
        <w:tc>
          <w:tcPr>
            <w:tcW w:w="64" w:type="dxa"/>
            <w:tcBorders/>
            <w:vAlign w:val="bottom"/>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Client</w:t>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4,069</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3,637</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6,038</w:t>
            </w:r>
          </w:p>
        </w:tc>
        <w:tc>
          <w:tcPr>
            <w:tcW w:w="64" w:type="dxa"/>
            <w:tcBorders/>
            <w:shd w:fill="CCEEFF" w:val="clear"/>
            <w:vAlign w:val="bottom"/>
          </w:tcPr>
          <w:p>
            <w:pPr>
              <w:pStyle w:val="TableContents"/>
              <w:bidi w:val="0"/>
              <w:spacing w:before="0" w:after="283"/>
              <w:jc w:val="left"/>
              <w:rPr/>
            </w:pPr>
            <w:r>
              <w:rPr/>
              <w:t> </w:t>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Consumer</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2,269</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1,949</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2,452</w:t>
            </w:r>
          </w:p>
        </w:tc>
        <w:tc>
          <w:tcPr>
            <w:tcW w:w="64" w:type="dxa"/>
            <w:tcBorders/>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6,663</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6,086</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9,754</w:t>
            </w:r>
          </w:p>
        </w:tc>
        <w:tc>
          <w:tcPr>
            <w:tcW w:w="64" w:type="dxa"/>
            <w:tcBorders/>
            <w:shd w:fill="CCEEFF" w:val="clear"/>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Businesss operations outside the United States include manufacturing facilities in China, Japan, Malaysia, as well as sales offices throughout the Americas, Asia Pacific, Europe and the Middle East. The following tables summarize the Businesss operations by geographic area: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58"/>
        <w:gridCol w:w="339"/>
        <w:gridCol w:w="140"/>
        <w:gridCol w:w="563"/>
        <w:gridCol w:w="60"/>
        <w:gridCol w:w="339"/>
        <w:gridCol w:w="140"/>
        <w:gridCol w:w="563"/>
        <w:gridCol w:w="60"/>
        <w:gridCol w:w="339"/>
        <w:gridCol w:w="140"/>
        <w:gridCol w:w="563"/>
        <w:gridCol w:w="68"/>
      </w:tblGrid>
      <w:tr>
        <w:trPr/>
        <w:tc>
          <w:tcPr>
            <w:tcW w:w="5258"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258"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5258"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907" w:type="dxa"/>
            <w:gridSpan w:val="10"/>
            <w:tcBorders/>
            <w:vAlign w:val="bottom"/>
          </w:tcPr>
          <w:p>
            <w:pPr>
              <w:pStyle w:val="TableContents"/>
              <w:bidi w:val="0"/>
              <w:spacing w:before="0" w:after="283"/>
              <w:jc w:val="center"/>
              <w:rPr>
                <w:i/>
              </w:rPr>
            </w:pPr>
            <w:r>
              <w:rPr>
                <w:i/>
              </w:rPr>
              <w:t>(in millions)</w:t>
            </w:r>
          </w:p>
        </w:tc>
        <w:tc>
          <w:tcPr>
            <w:tcW w:w="68" w:type="dxa"/>
            <w:tcBorders/>
            <w:vAlign w:val="bottom"/>
          </w:tcPr>
          <w:p>
            <w:pPr>
              <w:pStyle w:val="TableContents"/>
              <w:bidi w:val="0"/>
              <w:spacing w:before="0" w:after="283"/>
              <w:jc w:val="left"/>
              <w:rPr/>
            </w:pPr>
            <w:r>
              <w:rPr/>
              <w:t> </w:t>
            </w:r>
          </w:p>
        </w:tc>
      </w:tr>
      <w:tr>
        <w:trPr/>
        <w:tc>
          <w:tcPr>
            <w:tcW w:w="5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revenue1</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258"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933</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1,133</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1,768</w:t>
            </w:r>
          </w:p>
        </w:tc>
        <w:tc>
          <w:tcPr>
            <w:tcW w:w="68" w:type="dxa"/>
            <w:tcBorders/>
            <w:vAlign w:val="bottom"/>
          </w:tcPr>
          <w:p>
            <w:pPr>
              <w:pStyle w:val="TableContents"/>
              <w:bidi w:val="0"/>
              <w:spacing w:before="0" w:after="283"/>
              <w:jc w:val="left"/>
              <w:rPr/>
            </w:pPr>
            <w:r>
              <w:rPr/>
              <w:t> </w:t>
            </w:r>
          </w:p>
        </w:tc>
      </w:tr>
      <w:tr>
        <w:trPr/>
        <w:tc>
          <w:tcPr>
            <w:tcW w:w="5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2,549</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2,302</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3,769</w:t>
            </w:r>
          </w:p>
        </w:tc>
        <w:tc>
          <w:tcPr>
            <w:tcW w:w="68" w:type="dxa"/>
            <w:tcBorders/>
            <w:shd w:fill="CCEEFF" w:val="clear"/>
            <w:vAlign w:val="bottom"/>
          </w:tcPr>
          <w:p>
            <w:pPr>
              <w:pStyle w:val="TableContents"/>
              <w:bidi w:val="0"/>
              <w:spacing w:before="0" w:after="283"/>
              <w:jc w:val="left"/>
              <w:rPr/>
            </w:pPr>
            <w:r>
              <w:rPr/>
              <w:t> </w:t>
            </w:r>
          </w:p>
        </w:tc>
      </w:tr>
      <w:tr>
        <w:trPr/>
        <w:tc>
          <w:tcPr>
            <w:tcW w:w="5258"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1,044</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690</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1,324</w:t>
            </w:r>
          </w:p>
        </w:tc>
        <w:tc>
          <w:tcPr>
            <w:tcW w:w="68" w:type="dxa"/>
            <w:tcBorders/>
            <w:vAlign w:val="bottom"/>
          </w:tcPr>
          <w:p>
            <w:pPr>
              <w:pStyle w:val="TableContents"/>
              <w:bidi w:val="0"/>
              <w:spacing w:before="0" w:after="283"/>
              <w:jc w:val="left"/>
              <w:rPr/>
            </w:pPr>
            <w:r>
              <w:rPr/>
              <w:t> </w:t>
            </w:r>
          </w:p>
        </w:tc>
      </w:tr>
      <w:tr>
        <w:trPr/>
        <w:tc>
          <w:tcPr>
            <w:tcW w:w="5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Asia</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917</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898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1,391</w:t>
            </w:r>
          </w:p>
        </w:tc>
        <w:tc>
          <w:tcPr>
            <w:tcW w:w="68" w:type="dxa"/>
            <w:tcBorders/>
            <w:shd w:fill="CCEEFF" w:val="clear"/>
            <w:vAlign w:val="bottom"/>
          </w:tcPr>
          <w:p>
            <w:pPr>
              <w:pStyle w:val="TableContents"/>
              <w:bidi w:val="0"/>
              <w:spacing w:before="0" w:after="283"/>
              <w:jc w:val="left"/>
              <w:rPr/>
            </w:pPr>
            <w:r>
              <w:rPr/>
              <w:t> </w:t>
            </w:r>
          </w:p>
        </w:tc>
      </w:tr>
      <w:tr>
        <w:trPr/>
        <w:tc>
          <w:tcPr>
            <w:tcW w:w="5258" w:type="dxa"/>
            <w:tcBorders/>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1,058</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930</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1,349</w:t>
            </w:r>
          </w:p>
        </w:tc>
        <w:tc>
          <w:tcPr>
            <w:tcW w:w="68" w:type="dxa"/>
            <w:tcBorders/>
            <w:vAlign w:val="bottom"/>
          </w:tcPr>
          <w:p>
            <w:pPr>
              <w:pStyle w:val="TableContents"/>
              <w:bidi w:val="0"/>
              <w:spacing w:before="0" w:after="283"/>
              <w:jc w:val="left"/>
              <w:rPr/>
            </w:pPr>
            <w:r>
              <w:rPr/>
              <w:t> </w:t>
            </w:r>
          </w:p>
        </w:tc>
      </w:tr>
      <w:tr>
        <w:trPr/>
        <w:tc>
          <w:tcPr>
            <w:tcW w:w="5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133</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153</w:t>
            </w:r>
          </w:p>
        </w:tc>
        <w:tc>
          <w:tcPr>
            <w:tcW w:w="68" w:type="dxa"/>
            <w:tcBorders/>
            <w:shd w:fill="CCEEFF" w:val="clear"/>
            <w:vAlign w:val="bottom"/>
          </w:tcPr>
          <w:p>
            <w:pPr>
              <w:pStyle w:val="TableContents"/>
              <w:bidi w:val="0"/>
              <w:spacing w:before="0" w:after="283"/>
              <w:jc w:val="left"/>
              <w:rPr/>
            </w:pPr>
            <w:r>
              <w:rPr/>
              <w:t> </w:t>
            </w:r>
          </w:p>
        </w:tc>
      </w:tr>
      <w:tr>
        <w:trPr/>
        <w:tc>
          <w:tcPr>
            <w:tcW w:w="5258"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25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6,663</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6,086</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9,754</w:t>
            </w:r>
          </w:p>
        </w:tc>
        <w:tc>
          <w:tcPr>
            <w:tcW w:w="68" w:type="dxa"/>
            <w:tcBorders/>
            <w:vAlign w:val="bottom"/>
          </w:tcPr>
          <w:p>
            <w:pPr>
              <w:pStyle w:val="TableContents"/>
              <w:bidi w:val="0"/>
              <w:spacing w:before="0" w:after="283"/>
              <w:jc w:val="left"/>
              <w:rPr/>
            </w:pPr>
            <w:r>
              <w:rPr/>
              <w:t> </w:t>
            </w:r>
          </w:p>
        </w:tc>
      </w:tr>
      <w:tr>
        <w:trPr/>
        <w:tc>
          <w:tcPr>
            <w:tcW w:w="5258"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 is attributed to geographic regions based on the ship-to location of the customer. License and royalty revenue is attributed to countries based upon the location of the headquarters of the licensee.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Disaggregated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Businesss long-lived assets, including property, plant and equipment by geographic area,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96"/>
        <w:gridCol w:w="395"/>
        <w:gridCol w:w="140"/>
        <w:gridCol w:w="382"/>
        <w:gridCol w:w="60"/>
        <w:gridCol w:w="395"/>
        <w:gridCol w:w="140"/>
        <w:gridCol w:w="382"/>
        <w:gridCol w:w="65"/>
      </w:tblGrid>
      <w:tr>
        <w:trPr/>
        <w:tc>
          <w:tcPr>
            <w:tcW w:w="5796"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96"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796"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99" w:type="dxa"/>
            <w:gridSpan w:val="6"/>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5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Long-lived assets2</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796"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154</w:t>
            </w:r>
          </w:p>
        </w:tc>
        <w:tc>
          <w:tcPr>
            <w:tcW w:w="65" w:type="dxa"/>
            <w:tcBorders/>
            <w:vAlign w:val="bottom"/>
          </w:tcPr>
          <w:p>
            <w:pPr>
              <w:pStyle w:val="TableContents"/>
              <w:bidi w:val="0"/>
              <w:spacing w:before="0" w:after="283"/>
              <w:jc w:val="left"/>
              <w:rPr/>
            </w:pPr>
            <w:r>
              <w:rPr/>
              <w:t> </w:t>
            </w:r>
          </w:p>
        </w:tc>
      </w:tr>
      <w:tr>
        <w:trPr/>
        <w:tc>
          <w:tcPr>
            <w:tcW w:w="5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249</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298</w:t>
            </w:r>
          </w:p>
        </w:tc>
        <w:tc>
          <w:tcPr>
            <w:tcW w:w="65" w:type="dxa"/>
            <w:tcBorders/>
            <w:shd w:fill="CCEEFF" w:val="clear"/>
            <w:vAlign w:val="bottom"/>
          </w:tcPr>
          <w:p>
            <w:pPr>
              <w:pStyle w:val="TableContents"/>
              <w:bidi w:val="0"/>
              <w:spacing w:before="0" w:after="283"/>
              <w:jc w:val="left"/>
              <w:rPr/>
            </w:pPr>
            <w:r>
              <w:rPr/>
              <w:t> </w:t>
            </w:r>
          </w:p>
        </w:tc>
      </w:tr>
      <w:tr>
        <w:trPr/>
        <w:tc>
          <w:tcPr>
            <w:tcW w:w="5796" w:type="dxa"/>
            <w:tcBorders/>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388</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390</w:t>
            </w:r>
          </w:p>
        </w:tc>
        <w:tc>
          <w:tcPr>
            <w:tcW w:w="65" w:type="dxa"/>
            <w:tcBorders/>
            <w:vAlign w:val="bottom"/>
          </w:tcPr>
          <w:p>
            <w:pPr>
              <w:pStyle w:val="TableContents"/>
              <w:bidi w:val="0"/>
              <w:spacing w:before="0" w:after="283"/>
              <w:jc w:val="left"/>
              <w:rPr/>
            </w:pPr>
            <w:r>
              <w:rPr/>
              <w:t> </w:t>
            </w:r>
          </w:p>
        </w:tc>
      </w:tr>
      <w:tr>
        <w:trPr/>
        <w:tc>
          <w:tcPr>
            <w:tcW w:w="5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Asia</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4</w:t>
            </w:r>
          </w:p>
        </w:tc>
        <w:tc>
          <w:tcPr>
            <w:tcW w:w="65" w:type="dxa"/>
            <w:tcBorders/>
            <w:shd w:fill="CCEEFF" w:val="clear"/>
            <w:vAlign w:val="bottom"/>
          </w:tcPr>
          <w:p>
            <w:pPr>
              <w:pStyle w:val="TableContents"/>
              <w:bidi w:val="0"/>
              <w:spacing w:before="0" w:after="283"/>
              <w:jc w:val="left"/>
              <w:rPr/>
            </w:pPr>
            <w:r>
              <w:rPr/>
              <w:t> </w:t>
            </w:r>
          </w:p>
        </w:tc>
      </w:tr>
      <w:tr>
        <w:trPr/>
        <w:tc>
          <w:tcPr>
            <w:tcW w:w="5796" w:type="dxa"/>
            <w:tcBorders/>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87</w:t>
            </w:r>
          </w:p>
        </w:tc>
        <w:tc>
          <w:tcPr>
            <w:tcW w:w="65" w:type="dxa"/>
            <w:tcBorders/>
            <w:vAlign w:val="bottom"/>
          </w:tcPr>
          <w:p>
            <w:pPr>
              <w:pStyle w:val="TableContents"/>
              <w:bidi w:val="0"/>
              <w:spacing w:before="0" w:after="283"/>
              <w:jc w:val="left"/>
              <w:rPr/>
            </w:pPr>
            <w:r>
              <w:rPr/>
              <w:t> </w:t>
            </w:r>
          </w:p>
        </w:tc>
      </w:tr>
      <w:tr>
        <w:trPr/>
        <w:tc>
          <w:tcPr>
            <w:tcW w:w="579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791</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933</w:t>
            </w:r>
          </w:p>
        </w:tc>
        <w:tc>
          <w:tcPr>
            <w:tcW w:w="65" w:type="dxa"/>
            <w:tcBorders/>
            <w:shd w:fill="CCEEFF" w:val="clear"/>
            <w:vAlign w:val="bottom"/>
          </w:tcPr>
          <w:p>
            <w:pPr>
              <w:pStyle w:val="TableContents"/>
              <w:bidi w:val="0"/>
              <w:spacing w:before="0" w:after="283"/>
              <w:jc w:val="left"/>
              <w:rPr/>
            </w:pPr>
            <w:r>
              <w:rPr/>
              <w:t> </w:t>
            </w:r>
          </w:p>
        </w:tc>
      </w:tr>
      <w:tr>
        <w:trPr/>
        <w:tc>
          <w:tcPr>
            <w:tcW w:w="579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Long-lived assets include property, plant and equipment and are attributed to the geographic location in which they are located.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Customer Concentration and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Business sells its products to computer manufacturers and OEMs, cloud service providers, resellers, distributors and retailers throughout the world. For fiscal year 2024, no customer accounted for more than 10% of the Businesss net revenue. For fiscal year 2023, one customer accounted for 15% of the Businesss net revenue. For fiscal year 2022, one customer accounted for 11% of the Businesss net revenue. For 2024, 2023 and 2022, the Businesss top 10 customers accounted for 41%, 47% and 47% of the Businesss net revenue,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Business performs ongoing credit evaluations of its customers financial condition and generally requires no collateral. The Business maintains allowances for potential credit losses, and such losses have historically been within managements expectations. At any given point in time, the total amount outstanding from any one of a number of its customers may be individually significant to the Businesss financial results. As of June 28, 2024, the Business had net accounts receivable of $935 million, and one customer accounted for 10% of the Businesss outstanding accounts receivable. As of June 30, 2023, the Business had net accounts receivable of $539 million, and two customers accounted for 39% and 18% of the Businesss outstanding accounts receivable, respectively. Reserves for potential credit losses were not material as of each period end. </w:t>
      </w:r>
    </w:p>
    <w:p>
      <w:pPr>
        <w:pStyle w:val="TextBody"/>
        <w:bidi w:val="0"/>
        <w:spacing w:before="240" w:after="0"/>
        <w:jc w:val="left"/>
        <w:rPr>
          <w:rFonts w:ascii="Times New Roman" w:hAnsi="Times New Roman"/>
          <w:sz w:val="20"/>
        </w:rPr>
      </w:pPr>
      <w:r>
        <w:rPr>
          <w:rFonts w:ascii="Times New Roman" w:hAnsi="Times New Roman"/>
          <w:sz w:val="20"/>
        </w:rPr>
        <w:t xml:space="preserve">The Business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Supplier Concentration </w:t>
      </w:r>
    </w:p>
    <w:p>
      <w:pPr>
        <w:pStyle w:val="TextBody"/>
        <w:bidi w:val="0"/>
        <w:spacing w:before="120" w:after="0"/>
        <w:jc w:val="left"/>
        <w:rPr>
          <w:rFonts w:ascii="Times New Roman" w:hAnsi="Times New Roman"/>
          <w:sz w:val="20"/>
        </w:rPr>
      </w:pPr>
      <w:r>
        <w:rPr>
          <w:rFonts w:ascii="Times New Roman" w:hAnsi="Times New Roman"/>
          <w:sz w:val="20"/>
        </w:rPr>
        <w:t xml:space="preserve">All of the Businesss flash products require silicon wafers for the memory and controller components. The Businesss flash memory wafers are currently supplied almost entirely from Flash Ventures (as defined in Note 9) and the Businesss controller wafers are all manufactured by third-party sources. The failure of any of these sources to deliver silicon wafers could have a material adverse effect on the Businesss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some key components are purchased from single-source vendors for which alternative sources are currently not available. Shortages could occur in these essential materials due to an interruption of supply or increased demand in the industry. If the Business was unable to procure certain of such materials, the Businesss sales could decline, which could have a material adverse effect upon its results of operations. The Business also relies on third-party subcontractors to assemble and test a portion of its products. The Business does not have long-term contracts with some of these subcontractors and cannot directly control product delivery schedules or manufacturing processes. This could lead to product shortages or quality assurance problems that could increase the manufacturing costs of the Businesss products and have material adverse effects on the Businesss operating results. </w:t>
      </w:r>
    </w:p>
    <w:p>
      <w:pPr>
        <w:pStyle w:val="TextBody"/>
        <w:bidi w:val="0"/>
        <w:spacing w:before="360" w:after="0"/>
        <w:jc w:val="left"/>
        <w:rPr>
          <w:rFonts w:ascii="Times New Roman" w:hAnsi="Times New Roman"/>
          <w:b/>
          <w:sz w:val="20"/>
        </w:rPr>
      </w:pPr>
      <w:r>
        <w:rPr>
          <w:rFonts w:ascii="Times New Roman" w:hAnsi="Times New Roman"/>
          <w:b/>
          <w:sz w:val="20"/>
        </w:rPr>
        <w:t xml:space="preserve">Note 4. Revenues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represent the Businesss rights to consideration where performance obligations are completed but the customer payments are not due until another performance obligation is satisfied. The Business did not have any contract assets as of June 28, 2024, or June 30, 2023. Contract liabilities relate to customers payments in advance of performance under the contract and primarily relate to remaining performance obligations under professional service and support and maintenance contracts. Contract liabilities as of June 28, 2024, and June 30, 2023, and changes in contract liabilities during 2024 and 2023 were not material. </w:t>
      </w:r>
    </w:p>
    <w:p>
      <w:pPr>
        <w:pStyle w:val="TextBody"/>
        <w:bidi w:val="0"/>
        <w:spacing w:before="240" w:after="0"/>
        <w:jc w:val="left"/>
        <w:rPr>
          <w:rFonts w:ascii="Times New Roman" w:hAnsi="Times New Roman"/>
          <w:sz w:val="20"/>
        </w:rPr>
      </w:pPr>
      <w:r>
        <w:rPr>
          <w:rFonts w:ascii="Times New Roman" w:hAnsi="Times New Roman"/>
          <w:sz w:val="20"/>
        </w:rPr>
        <w:t xml:space="preserve">The Business incurs sales commissions and other direct incremental costs to obtain sales contracts. The Business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Business had no direct incremental costs to obtain contracts that have an expected benefit of greater than one year. </w:t>
      </w:r>
    </w:p>
    <w:p>
      <w:pPr>
        <w:pStyle w:val="TextBody"/>
        <w:bidi w:val="0"/>
        <w:spacing w:before="240" w:after="0"/>
        <w:jc w:val="left"/>
        <w:rPr>
          <w:rFonts w:ascii="Times New Roman" w:hAnsi="Times New Roman"/>
          <w:sz w:val="20"/>
        </w:rPr>
      </w:pPr>
      <w:r>
        <w:rPr>
          <w:rFonts w:ascii="Times New Roman" w:hAnsi="Times New Roman"/>
          <w:sz w:val="20"/>
        </w:rPr>
        <w:t xml:space="preserve">The Business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intellectual property license arrangements, which typically range longer than one year. Remaining performance obligations are mainly attributed to right-to-access patent license arrangements, professional service arrangements and customer support and service contracts which will be recognized over the remaining contract period. The transaction price allocated to the remaining performance obligations as of June 28, 2024, was not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Note 5. Supplemental Financial Statement Data </w:t>
      </w:r>
    </w:p>
    <w:p>
      <w:pPr>
        <w:pStyle w:val="TextBody"/>
        <w:bidi w:val="0"/>
        <w:spacing w:before="12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summary of goodwill activity for the periods presented: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5"/>
        <w:gridCol w:w="461"/>
        <w:gridCol w:w="162"/>
        <w:gridCol w:w="1000"/>
        <w:gridCol w:w="161"/>
      </w:tblGrid>
      <w:tr>
        <w:trPr/>
        <w:tc>
          <w:tcPr>
            <w:tcW w:w="515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center"/>
              <w:rPr>
                <w:i/>
              </w:rPr>
            </w:pPr>
            <w:r>
              <w:rPr>
                <w:i/>
              </w:rPr>
              <w:t>(in millions)</w:t>
            </w:r>
          </w:p>
        </w:tc>
        <w:tc>
          <w:tcPr>
            <w:tcW w:w="161"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July 2, 2021</w:t>
            </w:r>
          </w:p>
        </w:tc>
        <w:tc>
          <w:tcPr>
            <w:tcW w:w="46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7,912</w:t>
            </w:r>
          </w:p>
        </w:tc>
        <w:tc>
          <w:tcPr>
            <w:tcW w:w="161" w:type="dxa"/>
            <w:tcBorders/>
            <w:shd w:fill="CCEEFF" w:val="clear"/>
            <w:vAlign w:val="bottom"/>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Reduction in goodwill in connection with disposition of business</w:t>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(14</w:t>
            </w:r>
          </w:p>
        </w:tc>
        <w:tc>
          <w:tcPr>
            <w:tcW w:w="161"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6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w:t>
            </w:r>
          </w:p>
        </w:tc>
        <w:tc>
          <w:tcPr>
            <w:tcW w:w="161" w:type="dxa"/>
            <w:tcBorders/>
            <w:shd w:fill="CCEEFF" w:val="clear"/>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July 1, 2022</w:t>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7,887</w:t>
            </w:r>
          </w:p>
        </w:tc>
        <w:tc>
          <w:tcPr>
            <w:tcW w:w="161"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46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(671</w:t>
            </w:r>
          </w:p>
        </w:tc>
        <w:tc>
          <w:tcPr>
            <w:tcW w:w="161" w:type="dxa"/>
            <w:tcBorders/>
            <w:shd w:fill="CCEEFF" w:val="clear"/>
            <w:vAlign w:val="bottom"/>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w:t>
            </w:r>
          </w:p>
        </w:tc>
        <w:tc>
          <w:tcPr>
            <w:tcW w:w="161" w:type="dxa"/>
            <w:tcBorders/>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June 30, 2023</w:t>
            </w:r>
          </w:p>
        </w:tc>
        <w:tc>
          <w:tcPr>
            <w:tcW w:w="46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7,212</w:t>
            </w:r>
          </w:p>
        </w:tc>
        <w:tc>
          <w:tcPr>
            <w:tcW w:w="161" w:type="dxa"/>
            <w:tcBorders/>
            <w:shd w:fill="CCEEFF" w:val="clear"/>
            <w:vAlign w:val="bottom"/>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w:t>
            </w:r>
          </w:p>
        </w:tc>
        <w:tc>
          <w:tcPr>
            <w:tcW w:w="161" w:type="dxa"/>
            <w:tcBorders/>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June 28, 2024</w:t>
            </w:r>
          </w:p>
        </w:tc>
        <w:tc>
          <w:tcPr>
            <w:tcW w:w="46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 </w:t>
            </w:r>
            <w:r>
              <w:rPr/>
              <w:t>7,207</w:t>
            </w:r>
          </w:p>
        </w:tc>
        <w:tc>
          <w:tcPr>
            <w:tcW w:w="161" w:type="dxa"/>
            <w:tcBorders/>
            <w:shd w:fill="CCEEFF" w:val="clear"/>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Business determined that its single operating segment was also its single reporting unit. Goodwill is not amortized. Instead, it is tested for impairment annually as of the beginning of the Businesss fourth quarter, or more frequently if events or changes in circumstances indicate that goodwill may be impaired. The Business uses qualitative factors to determine whether goodwill is more-likely-than-not impaired and whether a quantitative test for impairment is considered necessary. If the Business concludes from the qualitative assessment that goodwill is more-likely-than-not-impaired, the Business is required to perform a quantitative approach to determine the amount of impairment. </w:t>
      </w:r>
    </w:p>
    <w:p>
      <w:pPr>
        <w:pStyle w:val="TextBody"/>
        <w:bidi w:val="0"/>
        <w:spacing w:before="240" w:after="0"/>
        <w:jc w:val="left"/>
        <w:rPr>
          <w:rFonts w:ascii="Times New Roman" w:hAnsi="Times New Roman"/>
          <w:sz w:val="20"/>
        </w:rPr>
      </w:pPr>
      <w:r>
        <w:rPr>
          <w:rFonts w:ascii="Times New Roman" w:hAnsi="Times New Roman"/>
          <w:sz w:val="20"/>
        </w:rPr>
        <w:t xml:space="preserve">Management did not identify any impairment indicators as of June 28, 2024 and did not incur any goodwill impairment charges for 2024. During fiscal year 2023, management identified several factors, including changes in industry and macroeconomic conditions, that warranted a quantitative analysis of impairment for the Business. The fair value of the operating segment was based on a weighting of two valuation methodologies: an income approach and a market approach. </w:t>
      </w:r>
    </w:p>
    <w:p>
      <w:pPr>
        <w:pStyle w:val="TextBody"/>
        <w:bidi w:val="0"/>
        <w:spacing w:before="240" w:after="0"/>
        <w:jc w:val="left"/>
        <w:rPr>
          <w:rFonts w:ascii="Times New Roman" w:hAnsi="Times New Roman"/>
          <w:sz w:val="20"/>
        </w:rPr>
      </w:pPr>
      <w:r>
        <w:rPr>
          <w:rFonts w:ascii="Times New Roman" w:hAnsi="Times New Roman"/>
          <w:sz w:val="20"/>
        </w:rPr>
        <w:t xml:space="preserve">The income approach was based on the present value of the projected discounted cash flows (DCF) expected to be generated by the operating segment. Those projections required the use of significant estimates and assumptions specific to the reporting unit as well as those based on general economic conditions, which included, among other factors, revenue growth rates, gross margins, operating costs, capital expenditures, assumed tax rates and other assumptions deemed reasonable by management. The present value was based on applying a weighted average cost of capital (WACC) which considered long-term interest rates and cost of equity based on the Businesss risk profile. </w:t>
      </w:r>
    </w:p>
    <w:p>
      <w:pPr>
        <w:pStyle w:val="TextBody"/>
        <w:bidi w:val="0"/>
        <w:spacing w:before="240" w:after="0"/>
        <w:jc w:val="left"/>
        <w:rPr>
          <w:rFonts w:ascii="Times New Roman" w:hAnsi="Times New Roman"/>
          <w:sz w:val="20"/>
        </w:rPr>
      </w:pPr>
      <w:r>
        <w:rPr>
          <w:rFonts w:ascii="Times New Roman" w:hAnsi="Times New Roman"/>
          <w:sz w:val="20"/>
        </w:rPr>
        <w:t xml:space="preserve">The market approach was based on a guideline Business method, which analyzed market multiples of revenue for a group of comparable public companies. </w:t>
      </w:r>
    </w:p>
    <w:p>
      <w:pPr>
        <w:pStyle w:val="TextBody"/>
        <w:bidi w:val="0"/>
        <w:spacing w:before="240" w:after="0"/>
        <w:jc w:val="left"/>
        <w:rPr>
          <w:rFonts w:ascii="Times New Roman" w:hAnsi="Times New Roman"/>
          <w:sz w:val="20"/>
        </w:rPr>
      </w:pPr>
      <w:r>
        <w:rPr>
          <w:rFonts w:ascii="Times New Roman" w:hAnsi="Times New Roman"/>
          <w:sz w:val="20"/>
        </w:rPr>
        <w:t xml:space="preserve">The Business reconciled the aggregated estimated fair value of the operating segment to our Parents market capitalization, including consideration of a control premium representing the estimated amount a market participant would pay to obtain a controlling interest in the Business. </w:t>
      </w:r>
    </w:p>
    <w:p>
      <w:pPr>
        <w:pStyle w:val="TextBody"/>
        <w:bidi w:val="0"/>
        <w:spacing w:before="240" w:after="0"/>
        <w:jc w:val="left"/>
        <w:rPr>
          <w:rFonts w:ascii="Times New Roman" w:hAnsi="Times New Roman"/>
          <w:sz w:val="20"/>
        </w:rPr>
      </w:pPr>
      <w:r>
        <w:rPr>
          <w:rFonts w:ascii="Times New Roman" w:hAnsi="Times New Roman"/>
          <w:sz w:val="20"/>
        </w:rPr>
        <w:t xml:space="preserve">Management determined that the carrying value of the reporting unit exceeded its fair value as derived from the valuation methodologies described above, resulting in recognition of a $671 million impairment charge for the fiscal year ended June 30, 2023. </w:t>
      </w:r>
    </w:p>
    <w:p>
      <w:pPr>
        <w:pStyle w:val="TextBody"/>
        <w:bidi w:val="0"/>
        <w:spacing w:before="240" w:after="0"/>
        <w:jc w:val="left"/>
        <w:rPr>
          <w:rFonts w:ascii="Times New Roman" w:hAnsi="Times New Roman"/>
          <w:sz w:val="20"/>
        </w:rPr>
      </w:pPr>
      <w:r>
        <w:rPr>
          <w:rFonts w:ascii="Times New Roman" w:hAnsi="Times New Roman"/>
          <w:sz w:val="20"/>
        </w:rPr>
        <w:t xml:space="preserve">The Business is required to use judgment when assessing goodwill for impairment, including evaluating the impact of industry and macroeconomic conditions and the determination of the fair value of the reporting unit. In addition, the estimates used to determine the fair value of the reporting unit as well as the actual carrying value may change based on future changes in the Businesss results of operations, macroeconomic conditions or other factors. Changes in these estimates could materially affect the Businesss assessment of the fair value and goodwill impairment. In addition, if negative macroeconomic conditions continue or worsen, goodwill could become further impaired, which could result in an additional impairment charge and materially adversely affect the Businesss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May 2022, the Business decided to exit its RISC-V development operations and completed the sale of a portion of the business for $25 million. The sale of this business included the transfer of a small number of employees and an immaterial amount of other tangible and intangible assets as well as goodwill. The transaction resulted in a gain of approximately $9 million recorded in employee termination, asset impairment and other charges in the Combined Statements of Operations for the fiscal year ended July 1, 2022. The revenues and expenses related to this business were not material to the Combined Financial Statements and did not qualify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 reported as a discontinued operation. The operating results of this business have been reflected in the Businesss results from continuing operations in the Combined Statements of Operations through the date of disposition.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 connection with factoring agreements, our Parent sells certain of our trade accounts receivable without recourse to third-party purchasers in exchange for cash. In 2024, 2023 and 2022 the Parent sold trade accounts receivable of the Business and received cash proceeds of $339 million, $370 million and $103 million, respectively. The discounts on the trade accounts receivable sold during the periods were not material and were recorded within other income (expense), net in the Combined Statements of Operations. No factored receivables were outstanding as of June 28, 2024, and $70 million of factored receivables remained outstanding as of June 30,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7"/>
        <w:gridCol w:w="407"/>
        <w:gridCol w:w="177"/>
        <w:gridCol w:w="708"/>
        <w:gridCol w:w="60"/>
        <w:gridCol w:w="407"/>
        <w:gridCol w:w="177"/>
        <w:gridCol w:w="708"/>
        <w:gridCol w:w="64"/>
      </w:tblGrid>
      <w:tr>
        <w:trPr/>
        <w:tc>
          <w:tcPr>
            <w:tcW w:w="5047"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47"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4" w:type="dxa"/>
            <w:tcBorders/>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2237" w:type="dxa"/>
            <w:gridSpan w:val="6"/>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0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47" w:type="dxa"/>
            <w:tcBorders/>
          </w:tcPr>
          <w:p>
            <w:pPr>
              <w:pStyle w:val="TableContents"/>
              <w:bidi w:val="0"/>
              <w:spacing w:before="0" w:after="0"/>
              <w:jc w:val="left"/>
              <w:rPr>
                <w:rFonts w:ascii="Times New Roman" w:hAnsi="Times New Roman"/>
                <w:sz w:val="20"/>
              </w:rPr>
            </w:pPr>
            <w:r>
              <w:rPr>
                <w:rFonts w:ascii="Times New Roman" w:hAnsi="Times New Roman"/>
                <w:sz w:val="20"/>
              </w:rPr>
              <w:t>Raw materials and component parts</w:t>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1,398</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1,754</w:t>
            </w:r>
          </w:p>
        </w:tc>
        <w:tc>
          <w:tcPr>
            <w:tcW w:w="64" w:type="dxa"/>
            <w:tcBorders/>
            <w:vAlign w:val="bottom"/>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Work-in-process</w:t>
            </w:r>
          </w:p>
        </w:tc>
        <w:tc>
          <w:tcPr>
            <w:tcW w:w="40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237</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182</w:t>
            </w:r>
          </w:p>
        </w:tc>
        <w:tc>
          <w:tcPr>
            <w:tcW w:w="64" w:type="dxa"/>
            <w:tcBorders/>
            <w:shd w:fill="CCEEFF" w:val="clear"/>
            <w:vAlign w:val="bottom"/>
          </w:tcPr>
          <w:p>
            <w:pPr>
              <w:pStyle w:val="TableContents"/>
              <w:bidi w:val="0"/>
              <w:spacing w:before="0" w:after="283"/>
              <w:jc w:val="left"/>
              <w:rPr/>
            </w:pPr>
            <w:r>
              <w:rPr/>
              <w:t> </w:t>
            </w:r>
          </w:p>
        </w:tc>
      </w:tr>
      <w:tr>
        <w:trPr/>
        <w:tc>
          <w:tcPr>
            <w:tcW w:w="5047" w:type="dxa"/>
            <w:tcBorders/>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320</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333</w:t>
            </w:r>
          </w:p>
        </w:tc>
        <w:tc>
          <w:tcPr>
            <w:tcW w:w="64" w:type="dxa"/>
            <w:tcBorders/>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40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1,955</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2,269</w:t>
            </w:r>
          </w:p>
        </w:tc>
        <w:tc>
          <w:tcPr>
            <w:tcW w:w="64" w:type="dxa"/>
            <w:tcBorders/>
            <w:shd w:fill="CCEEFF" w:val="clear"/>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Property, plant and equipment,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22"/>
        <w:gridCol w:w="429"/>
        <w:gridCol w:w="158"/>
        <w:gridCol w:w="723"/>
        <w:gridCol w:w="155"/>
        <w:gridCol w:w="429"/>
        <w:gridCol w:w="158"/>
        <w:gridCol w:w="723"/>
        <w:gridCol w:w="158"/>
      </w:tblGrid>
      <w:tr>
        <w:trPr/>
        <w:tc>
          <w:tcPr>
            <w:tcW w:w="4822"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2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8" w:type="dxa"/>
            <w:tcBorders/>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346" w:type="dxa"/>
            <w:gridSpan w:val="6"/>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Buildings and improvements</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397</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479</w:t>
            </w:r>
          </w:p>
        </w:tc>
        <w:tc>
          <w:tcPr>
            <w:tcW w:w="158" w:type="dxa"/>
            <w:tcBorders/>
            <w:shd w:fill="CCEEFF" w:val="clear"/>
            <w:vAlign w:val="bottom"/>
          </w:tcPr>
          <w:p>
            <w:pPr>
              <w:pStyle w:val="TableContents"/>
              <w:bidi w:val="0"/>
              <w:spacing w:before="0" w:after="283"/>
              <w:jc w:val="left"/>
              <w:rPr/>
            </w:pPr>
            <w:r>
              <w:rPr/>
              <w:t> </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2,340</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2,280</w:t>
            </w:r>
          </w:p>
        </w:tc>
        <w:tc>
          <w:tcPr>
            <w:tcW w:w="158"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121</w:t>
            </w:r>
          </w:p>
        </w:tc>
        <w:tc>
          <w:tcPr>
            <w:tcW w:w="158" w:type="dxa"/>
            <w:tcBorders/>
            <w:shd w:fill="CCEEFF" w:val="clear"/>
            <w:vAlign w:val="bottom"/>
          </w:tcPr>
          <w:p>
            <w:pPr>
              <w:pStyle w:val="TableContents"/>
              <w:bidi w:val="0"/>
              <w:spacing w:before="0" w:after="283"/>
              <w:jc w:val="left"/>
              <w:rPr/>
            </w:pPr>
            <w:r>
              <w:rPr/>
              <w:t> </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Construction-in-process</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108</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86</w:t>
            </w:r>
          </w:p>
        </w:tc>
        <w:tc>
          <w:tcPr>
            <w:tcW w:w="158" w:type="dxa"/>
            <w:tcBorders/>
            <w:shd w:fill="CCEEFF" w:val="clear"/>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gross</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2,994</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3,016</w:t>
            </w:r>
          </w:p>
        </w:tc>
        <w:tc>
          <w:tcPr>
            <w:tcW w:w="158"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(2,203</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(2,083</w:t>
            </w:r>
          </w:p>
        </w:tc>
        <w:tc>
          <w:tcPr>
            <w:tcW w:w="158" w:type="dxa"/>
            <w:tcBorders/>
            <w:shd w:fill="CCEEFF" w:val="clear"/>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791</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933</w:t>
            </w:r>
          </w:p>
        </w:tc>
        <w:tc>
          <w:tcPr>
            <w:tcW w:w="158" w:type="dxa"/>
            <w:tcBorders/>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property, plant and equipment totaled $224 million, $315 million and $306 million in 2024, 2023 and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Intangibles are amortized over the estimated useful life based on the pattern in which the economic benefits are expected to be received. As of June 28, 2024 and June 30, 2023, all finite-lived intangible assets were fully amortized. During 2024, 2023 and 2022, the Business did not record any impairment charges related to finite-lived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 amortization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725"/>
        <w:gridCol w:w="349"/>
        <w:gridCol w:w="252"/>
        <w:gridCol w:w="252"/>
        <w:gridCol w:w="60"/>
        <w:gridCol w:w="349"/>
        <w:gridCol w:w="140"/>
        <w:gridCol w:w="415"/>
        <w:gridCol w:w="60"/>
        <w:gridCol w:w="349"/>
        <w:gridCol w:w="140"/>
        <w:gridCol w:w="415"/>
        <w:gridCol w:w="66"/>
      </w:tblGrid>
      <w:tr>
        <w:trPr/>
        <w:tc>
          <w:tcPr>
            <w:tcW w:w="5725"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72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572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432" w:type="dxa"/>
            <w:gridSpan w:val="10"/>
            <w:tcBorders/>
            <w:vAlign w:val="bottom"/>
          </w:tcPr>
          <w:p>
            <w:pPr>
              <w:pStyle w:val="TableContents"/>
              <w:bidi w:val="0"/>
              <w:spacing w:before="0" w:after="283"/>
              <w:jc w:val="center"/>
              <w:rPr>
                <w:i/>
              </w:rPr>
            </w:pPr>
            <w:r>
              <w:rPr>
                <w:i/>
              </w:rPr>
              <w:t>(in millions)</w:t>
            </w:r>
          </w:p>
        </w:tc>
        <w:tc>
          <w:tcPr>
            <w:tcW w:w="66" w:type="dxa"/>
            <w:tcBorders/>
            <w:vAlign w:val="bottom"/>
          </w:tcPr>
          <w:p>
            <w:pPr>
              <w:pStyle w:val="TableContents"/>
              <w:bidi w:val="0"/>
              <w:spacing w:before="0" w:after="283"/>
              <w:jc w:val="left"/>
              <w:rPr/>
            </w:pPr>
            <w:r>
              <w:rPr/>
              <w:t> </w:t>
            </w:r>
          </w:p>
        </w:tc>
      </w:tr>
      <w:tr>
        <w:trPr/>
        <w:tc>
          <w:tcPr>
            <w:tcW w:w="57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 amortization</w:t>
            </w:r>
          </w:p>
        </w:tc>
        <w:tc>
          <w:tcPr>
            <w:tcW w:w="34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15" w:type="dxa"/>
            <w:tcBorders/>
            <w:shd w:fill="CCEEFF" w:val="clear"/>
            <w:vAlign w:val="bottom"/>
          </w:tcPr>
          <w:p>
            <w:pPr>
              <w:pStyle w:val="TableContents"/>
              <w:bidi w:val="0"/>
              <w:spacing w:before="0" w:after="283"/>
              <w:jc w:val="right"/>
              <w:rPr/>
            </w:pPr>
            <w:r>
              <w:rPr/>
              <w:t>133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15" w:type="dxa"/>
            <w:tcBorders/>
            <w:shd w:fill="CCEEFF" w:val="clear"/>
            <w:vAlign w:val="bottom"/>
          </w:tcPr>
          <w:p>
            <w:pPr>
              <w:pStyle w:val="TableContents"/>
              <w:bidi w:val="0"/>
              <w:spacing w:before="0" w:after="283"/>
              <w:jc w:val="right"/>
              <w:rPr/>
            </w:pPr>
            <w:r>
              <w:rPr/>
              <w:t>219</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Product warranty liability </w:t>
      </w:r>
    </w:p>
    <w:p>
      <w:pPr>
        <w:pStyle w:val="TextBody"/>
        <w:bidi w:val="0"/>
        <w:spacing w:before="120" w:after="0"/>
        <w:jc w:val="left"/>
        <w:rPr>
          <w:rFonts w:ascii="Times New Roman" w:hAnsi="Times New Roman"/>
          <w:sz w:val="20"/>
        </w:rPr>
      </w:pPr>
      <w:r>
        <w:rPr>
          <w:rFonts w:ascii="Times New Roman" w:hAnsi="Times New Roman"/>
          <w:sz w:val="20"/>
        </w:rPr>
        <w:t xml:space="preserve">Changes in the warranty accrual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50"/>
        <w:gridCol w:w="449"/>
        <w:gridCol w:w="147"/>
        <w:gridCol w:w="355"/>
        <w:gridCol w:w="155"/>
        <w:gridCol w:w="449"/>
        <w:gridCol w:w="147"/>
        <w:gridCol w:w="355"/>
        <w:gridCol w:w="155"/>
        <w:gridCol w:w="449"/>
        <w:gridCol w:w="147"/>
        <w:gridCol w:w="355"/>
        <w:gridCol w:w="159"/>
      </w:tblGrid>
      <w:tr>
        <w:trPr/>
        <w:tc>
          <w:tcPr>
            <w:tcW w:w="525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525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714" w:type="dxa"/>
            <w:gridSpan w:val="10"/>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5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accrual, beginning of period</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5"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5"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5" w:type="dxa"/>
            <w:tcBorders/>
            <w:shd w:fill="CCEEFF" w:val="clear"/>
            <w:vAlign w:val="bottom"/>
          </w:tcPr>
          <w:p>
            <w:pPr>
              <w:pStyle w:val="TableContents"/>
              <w:bidi w:val="0"/>
              <w:spacing w:before="0" w:after="283"/>
              <w:jc w:val="right"/>
              <w:rPr/>
            </w:pPr>
            <w:r>
              <w:rPr/>
              <w:t>48</w:t>
            </w:r>
          </w:p>
        </w:tc>
        <w:tc>
          <w:tcPr>
            <w:tcW w:w="159" w:type="dxa"/>
            <w:tcBorders/>
            <w:shd w:fill="CCEEFF" w:val="clear"/>
            <w:vAlign w:val="bottom"/>
          </w:tcPr>
          <w:p>
            <w:pPr>
              <w:pStyle w:val="TableContents"/>
              <w:bidi w:val="0"/>
              <w:spacing w:before="0" w:after="283"/>
              <w:jc w:val="left"/>
              <w:rPr/>
            </w:pPr>
            <w:r>
              <w:rPr/>
              <w:t> </w:t>
            </w:r>
          </w:p>
        </w:tc>
      </w:tr>
      <w:tr>
        <w:trPr/>
        <w:tc>
          <w:tcPr>
            <w:tcW w:w="5250" w:type="dxa"/>
            <w:tcBorders/>
          </w:tcPr>
          <w:p>
            <w:pPr>
              <w:pStyle w:val="TableContents"/>
              <w:bidi w:val="0"/>
              <w:spacing w:before="0" w:after="0"/>
              <w:jc w:val="left"/>
              <w:rPr>
                <w:rFonts w:ascii="Times New Roman" w:hAnsi="Times New Roman"/>
                <w:sz w:val="20"/>
              </w:rPr>
            </w:pPr>
            <w:r>
              <w:rPr>
                <w:rFonts w:ascii="Times New Roman" w:hAnsi="Times New Roman"/>
                <w:sz w:val="20"/>
              </w:rPr>
              <w:t>Charges to operations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35</w:t>
            </w:r>
          </w:p>
        </w:tc>
        <w:tc>
          <w:tcPr>
            <w:tcW w:w="159" w:type="dxa"/>
            <w:tcBorders/>
            <w:vAlign w:val="bottom"/>
          </w:tcPr>
          <w:p>
            <w:pPr>
              <w:pStyle w:val="TableContents"/>
              <w:bidi w:val="0"/>
              <w:spacing w:before="0" w:after="283"/>
              <w:jc w:val="left"/>
              <w:rPr/>
            </w:pPr>
            <w:r>
              <w:rPr/>
              <w:t> </w:t>
            </w:r>
          </w:p>
        </w:tc>
      </w:tr>
      <w:tr>
        <w:trPr/>
        <w:tc>
          <w:tcPr>
            <w:tcW w:w="5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Utilization</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right"/>
              <w:rPr/>
            </w:pPr>
            <w:r>
              <w:rPr/>
              <w:t>(19</w:t>
            </w:r>
          </w:p>
        </w:tc>
        <w:tc>
          <w:tcPr>
            <w:tcW w:w="159" w:type="dxa"/>
            <w:tcBorders/>
            <w:shd w:fill="CCEEFF" w:val="clear"/>
            <w:vAlign w:val="bottom"/>
          </w:tcPr>
          <w:p>
            <w:pPr>
              <w:pStyle w:val="TableContents"/>
              <w:bidi w:val="0"/>
              <w:spacing w:before="0" w:after="283"/>
              <w:jc w:val="left"/>
              <w:rPr/>
            </w:pPr>
            <w:r>
              <w:rPr/>
              <w:t>) </w:t>
            </w:r>
          </w:p>
        </w:tc>
      </w:tr>
      <w:tr>
        <w:trPr/>
        <w:tc>
          <w:tcPr>
            <w:tcW w:w="525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estimate related to pre-existing warranties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right"/>
              <w:rPr/>
            </w:pPr>
            <w:r>
              <w:rPr/>
              <w:t>(12</w:t>
            </w:r>
          </w:p>
        </w:tc>
        <w:tc>
          <w:tcPr>
            <w:tcW w:w="159" w:type="dxa"/>
            <w:tcBorders/>
            <w:vAlign w:val="bottom"/>
          </w:tcPr>
          <w:p>
            <w:pPr>
              <w:pStyle w:val="TableContents"/>
              <w:bidi w:val="0"/>
              <w:spacing w:before="0" w:after="283"/>
              <w:jc w:val="left"/>
              <w:rPr/>
            </w:pPr>
            <w:r>
              <w:rPr/>
              <w:t>) </w:t>
            </w:r>
          </w:p>
        </w:tc>
      </w:tr>
      <w:tr>
        <w:trPr/>
        <w:tc>
          <w:tcPr>
            <w:tcW w:w="525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35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accrual, end of period</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5"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5"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5" w:type="dxa"/>
            <w:tcBorders/>
            <w:shd w:fill="CCEEFF" w:val="clear"/>
            <w:vAlign w:val="bottom"/>
          </w:tcPr>
          <w:p>
            <w:pPr>
              <w:pStyle w:val="TableContents"/>
              <w:bidi w:val="0"/>
              <w:spacing w:before="0" w:after="283"/>
              <w:jc w:val="right"/>
              <w:rPr/>
            </w:pPr>
            <w:r>
              <w:rPr/>
              <w:t>52</w:t>
            </w:r>
          </w:p>
        </w:tc>
        <w:tc>
          <w:tcPr>
            <w:tcW w:w="159" w:type="dxa"/>
            <w:tcBorders/>
            <w:shd w:fill="CCEEFF" w:val="clear"/>
            <w:vAlign w:val="bottom"/>
          </w:tcPr>
          <w:p>
            <w:pPr>
              <w:pStyle w:val="TableContents"/>
              <w:bidi w:val="0"/>
              <w:spacing w:before="0" w:after="283"/>
              <w:jc w:val="left"/>
              <w:rPr/>
            </w:pPr>
            <w:r>
              <w:rPr/>
              <w:t> </w:t>
            </w:r>
          </w:p>
        </w:tc>
      </w:tr>
      <w:tr>
        <w:trPr/>
        <w:tc>
          <w:tcPr>
            <w:tcW w:w="525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35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current portion of the warranty accrual is classified in accrued expenses and the long-term portion is classified in other liabilities as noted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06"/>
        <w:gridCol w:w="456"/>
        <w:gridCol w:w="175"/>
        <w:gridCol w:w="332"/>
        <w:gridCol w:w="60"/>
        <w:gridCol w:w="456"/>
        <w:gridCol w:w="175"/>
        <w:gridCol w:w="332"/>
        <w:gridCol w:w="63"/>
      </w:tblGrid>
      <w:tr>
        <w:trPr/>
        <w:tc>
          <w:tcPr>
            <w:tcW w:w="5706"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06"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706"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30" w:type="dxa"/>
            <w:gridSpan w:val="6"/>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5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accrual:</w:t>
            </w:r>
          </w:p>
        </w:tc>
        <w:tc>
          <w:tcPr>
            <w:tcW w:w="45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06"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(included in Accrued expenses)</w:t>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332"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33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57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portion (included in Other liabilities)</w:t>
            </w:r>
          </w:p>
        </w:tc>
        <w:tc>
          <w:tcPr>
            <w:tcW w:w="45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right"/>
              <w:rPr/>
            </w:pPr>
            <w:r>
              <w:rPr/>
              <w:t>19</w:t>
            </w:r>
          </w:p>
        </w:tc>
        <w:tc>
          <w:tcPr>
            <w:tcW w:w="63" w:type="dxa"/>
            <w:tcBorders/>
            <w:shd w:fill="CCEEFF" w:val="clear"/>
            <w:vAlign w:val="bottom"/>
          </w:tcPr>
          <w:p>
            <w:pPr>
              <w:pStyle w:val="TableContents"/>
              <w:bidi w:val="0"/>
              <w:spacing w:before="0" w:after="283"/>
              <w:jc w:val="left"/>
              <w:rPr/>
            </w:pPr>
            <w:r>
              <w:rPr/>
              <w:t> </w:t>
            </w:r>
          </w:p>
        </w:tc>
      </w:tr>
      <w:tr>
        <w:trPr/>
        <w:tc>
          <w:tcPr>
            <w:tcW w:w="570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06" w:type="dxa"/>
            <w:tcBorders/>
          </w:tcPr>
          <w:p>
            <w:pPr>
              <w:pStyle w:val="TableContents"/>
              <w:bidi w:val="0"/>
              <w:spacing w:before="0" w:after="0"/>
              <w:jc w:val="left"/>
              <w:rPr>
                <w:rFonts w:ascii="Times New Roman" w:hAnsi="Times New Roman"/>
                <w:sz w:val="20"/>
              </w:rPr>
            </w:pPr>
            <w:r>
              <w:rPr>
                <w:rFonts w:ascii="Times New Roman" w:hAnsi="Times New Roman"/>
                <w:sz w:val="20"/>
              </w:rPr>
              <w:t>Total warranty accrual</w:t>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332"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33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570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94"/>
        <w:gridCol w:w="393"/>
        <w:gridCol w:w="140"/>
        <w:gridCol w:w="385"/>
        <w:gridCol w:w="60"/>
        <w:gridCol w:w="393"/>
        <w:gridCol w:w="140"/>
        <w:gridCol w:w="385"/>
        <w:gridCol w:w="65"/>
      </w:tblGrid>
      <w:tr>
        <w:trPr/>
        <w:tc>
          <w:tcPr>
            <w:tcW w:w="5794"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94"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794"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503" w:type="dxa"/>
            <w:gridSpan w:val="6"/>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5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794" w:type="dxa"/>
            <w:tcBorders/>
          </w:tcPr>
          <w:p>
            <w:pPr>
              <w:pStyle w:val="TableContents"/>
              <w:bidi w:val="0"/>
              <w:spacing w:before="0" w:after="0"/>
              <w:jc w:val="left"/>
              <w:rPr>
                <w:rFonts w:ascii="Times New Roman" w:hAnsi="Times New Roman"/>
                <w:sz w:val="20"/>
              </w:rPr>
            </w:pPr>
            <w:r>
              <w:rPr>
                <w:rFonts w:ascii="Times New Roman" w:hAnsi="Times New Roman"/>
                <w:sz w:val="20"/>
              </w:rPr>
              <w:t>Non-current net tax payable</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5"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5"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5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lease liability</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171</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right"/>
              <w:rPr/>
            </w:pPr>
            <w:r>
              <w:rPr/>
              <w:t>88</w:t>
            </w:r>
          </w:p>
        </w:tc>
        <w:tc>
          <w:tcPr>
            <w:tcW w:w="65" w:type="dxa"/>
            <w:tcBorders/>
            <w:shd w:fill="CCEEFF" w:val="clear"/>
            <w:vAlign w:val="bottom"/>
          </w:tcPr>
          <w:p>
            <w:pPr>
              <w:pStyle w:val="TableContents"/>
              <w:bidi w:val="0"/>
              <w:spacing w:before="0" w:after="283"/>
              <w:jc w:val="left"/>
              <w:rPr/>
            </w:pPr>
            <w:r>
              <w:rPr/>
              <w:t> </w:t>
            </w:r>
          </w:p>
        </w:tc>
      </w:tr>
      <w:tr>
        <w:trPr/>
        <w:tc>
          <w:tcPr>
            <w:tcW w:w="5794"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61</w:t>
            </w:r>
          </w:p>
        </w:tc>
        <w:tc>
          <w:tcPr>
            <w:tcW w:w="65" w:type="dxa"/>
            <w:tcBorders/>
            <w:vAlign w:val="bottom"/>
          </w:tcPr>
          <w:p>
            <w:pPr>
              <w:pStyle w:val="TableContents"/>
              <w:bidi w:val="0"/>
              <w:spacing w:before="0" w:after="283"/>
              <w:jc w:val="left"/>
              <w:rPr/>
            </w:pPr>
            <w:r>
              <w:rPr/>
              <w:t> </w:t>
            </w:r>
          </w:p>
        </w:tc>
      </w:tr>
      <w:tr>
        <w:trPr/>
        <w:tc>
          <w:tcPr>
            <w:tcW w:w="5794"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liabilities</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179</w:t>
            </w:r>
          </w:p>
        </w:tc>
        <w:tc>
          <w:tcPr>
            <w:tcW w:w="65" w:type="dxa"/>
            <w:tcBorders/>
            <w:shd w:fill="CCEEFF" w:val="clear"/>
            <w:vAlign w:val="bottom"/>
          </w:tcPr>
          <w:p>
            <w:pPr>
              <w:pStyle w:val="TableContents"/>
              <w:bidi w:val="0"/>
              <w:spacing w:before="0" w:after="283"/>
              <w:jc w:val="left"/>
              <w:rPr/>
            </w:pPr>
            <w:r>
              <w:rPr/>
              <w:t> </w:t>
            </w:r>
          </w:p>
        </w:tc>
      </w:tr>
      <w:tr>
        <w:trPr/>
        <w:tc>
          <w:tcPr>
            <w:tcW w:w="5794"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Accumulated other comprehensive loss (AOCL), net of tax refers to expenses, gains and losses that are recorded as an element of equity but are excluded from net income (loss). The following table illustrates the changes in the balances of each component of AOCL: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85"/>
        <w:gridCol w:w="280"/>
        <w:gridCol w:w="287"/>
        <w:gridCol w:w="934"/>
        <w:gridCol w:w="155"/>
        <w:gridCol w:w="280"/>
        <w:gridCol w:w="361"/>
        <w:gridCol w:w="1167"/>
        <w:gridCol w:w="155"/>
        <w:gridCol w:w="280"/>
        <w:gridCol w:w="383"/>
        <w:gridCol w:w="1243"/>
        <w:gridCol w:w="162"/>
      </w:tblGrid>
      <w:tr>
        <w:trPr/>
        <w:tc>
          <w:tcPr>
            <w:tcW w:w="288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br/>
              <w:t>Adjustment</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 (Loss) on</w:t>
              <w:br/>
              <w:t>Derivative</w:t>
              <w:br/>
              <w:t>Contracts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Accumulated</w:t>
              <w:br/>
              <w:t>Comprehensive</w:t>
              <w:br/>
              <w:t>Loss</w:t>
            </w:r>
          </w:p>
        </w:tc>
        <w:tc>
          <w:tcPr>
            <w:tcW w:w="162" w:type="dxa"/>
            <w:tcBorders/>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5245" w:type="dxa"/>
            <w:gridSpan w:val="10"/>
            <w:tcBorders/>
            <w:vAlign w:val="bottom"/>
          </w:tcPr>
          <w:p>
            <w:pPr>
              <w:pStyle w:val="TableContents"/>
              <w:bidi w:val="0"/>
              <w:spacing w:before="0" w:after="283"/>
              <w:jc w:val="center"/>
              <w:rPr>
                <w:i/>
              </w:rPr>
            </w:pPr>
            <w:r>
              <w:rPr>
                <w:i/>
              </w:rPr>
              <w:t>(in millions)</w:t>
            </w:r>
          </w:p>
        </w:tc>
        <w:tc>
          <w:tcPr>
            <w:tcW w:w="162"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July 1, 2022</w:t>
            </w:r>
          </w:p>
        </w:tc>
        <w:tc>
          <w:tcPr>
            <w:tcW w:w="28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(407</w:t>
            </w:r>
          </w:p>
        </w:tc>
        <w:tc>
          <w:tcPr>
            <w:tcW w:w="162"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93</w:t>
            </w:r>
          </w:p>
        </w:tc>
        <w:tc>
          <w:tcPr>
            <w:tcW w:w="162"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related to items of other comprehensive income (loss)</w:t>
            </w:r>
          </w:p>
        </w:tc>
        <w:tc>
          <w:tcPr>
            <w:tcW w:w="28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(29</w:t>
            </w:r>
          </w:p>
        </w:tc>
        <w:tc>
          <w:tcPr>
            <w:tcW w:w="162" w:type="dxa"/>
            <w:tcBorders/>
            <w:shd w:fill="CCEEFF" w:val="clear"/>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 (loss)</w:t>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64</w:t>
            </w:r>
          </w:p>
        </w:tc>
        <w:tc>
          <w:tcPr>
            <w:tcW w:w="162" w:type="dxa"/>
            <w:tcBorders/>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30, 2023</w:t>
            </w:r>
          </w:p>
        </w:tc>
        <w:tc>
          <w:tcPr>
            <w:tcW w:w="28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(178</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(343</w:t>
            </w:r>
          </w:p>
        </w:tc>
        <w:tc>
          <w:tcPr>
            <w:tcW w:w="162"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(87</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(130</w:t>
            </w:r>
          </w:p>
        </w:tc>
        <w:tc>
          <w:tcPr>
            <w:tcW w:w="162"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related to items of other comprehensive loss</w:t>
            </w:r>
          </w:p>
        </w:tc>
        <w:tc>
          <w:tcPr>
            <w:tcW w:w="28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21</w:t>
            </w:r>
          </w:p>
        </w:tc>
        <w:tc>
          <w:tcPr>
            <w:tcW w:w="162" w:type="dxa"/>
            <w:tcBorders/>
            <w:shd w:fill="CCEEFF" w:val="clear"/>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(109</w:t>
            </w:r>
          </w:p>
        </w:tc>
        <w:tc>
          <w:tcPr>
            <w:tcW w:w="162" w:type="dxa"/>
            <w:tcBorders/>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28, 2024</w:t>
            </w:r>
          </w:p>
        </w:tc>
        <w:tc>
          <w:tcPr>
            <w:tcW w:w="28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(208</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167"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(452</w:t>
            </w:r>
          </w:p>
        </w:tc>
        <w:tc>
          <w:tcPr>
            <w:tcW w:w="162" w:type="dxa"/>
            <w:tcBorders/>
            <w:shd w:fill="CCEEFF" w:val="clear"/>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6. Fair Value Measurements and Investments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Financial Instruments Carried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and liabilities that are remeasured and reported at fair value at each reporting period are classified and disclosed in one of the following three levels: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7"/>
        <w:gridCol w:w="102"/>
        <w:gridCol w:w="720"/>
        <w:gridCol w:w="102"/>
        <w:gridCol w:w="8974"/>
      </w:tblGrid>
      <w:tr>
        <w:trPr/>
        <w:tc>
          <w:tcPr>
            <w:tcW w:w="3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974" w:type="dxa"/>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20" w:type="dxa"/>
            <w:tcBorders/>
          </w:tcPr>
          <w:p>
            <w:pPr>
              <w:pStyle w:val="TableContents"/>
              <w:bidi w:val="0"/>
              <w:spacing w:before="0" w:after="283"/>
              <w:jc w:val="left"/>
              <w:rPr/>
            </w:pPr>
            <w:r>
              <w:rPr>
                <w:i/>
              </w:rPr>
              <w:t>Level</w:t>
            </w:r>
            <w:r>
              <w:rPr/>
              <w:t> </w:t>
            </w:r>
            <w:r>
              <w:rPr>
                <w:i/>
              </w:rPr>
              <w:t>1</w:t>
            </w:r>
            <w:r>
              <w:rPr/>
              <w:t>.</w:t>
            </w:r>
          </w:p>
        </w:tc>
        <w:tc>
          <w:tcPr>
            <w:tcW w:w="102"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Quoted prices in active markets for identical assets or liabilities.</w:t>
            </w:r>
          </w:p>
        </w:tc>
      </w:tr>
      <w:tr>
        <w:trPr>
          <w:trHeight w:val="120" w:hRule="atLeast"/>
        </w:trPr>
        <w:tc>
          <w:tcPr>
            <w:tcW w:w="307" w:type="dxa"/>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20" w:type="dxa"/>
            <w:tcBorders/>
          </w:tcPr>
          <w:p>
            <w:pPr>
              <w:pStyle w:val="TableContents"/>
              <w:bidi w:val="0"/>
              <w:spacing w:before="0" w:after="283"/>
              <w:jc w:val="left"/>
              <w:rPr/>
            </w:pPr>
            <w:r>
              <w:rPr>
                <w:i/>
              </w:rPr>
              <w:t>Level</w:t>
            </w:r>
            <w:r>
              <w:rPr/>
              <w:t> </w:t>
            </w:r>
            <w:r>
              <w:rPr>
                <w:i/>
              </w:rPr>
              <w:t>2</w:t>
            </w:r>
            <w:r>
              <w:rPr/>
              <w:t>.</w:t>
            </w:r>
          </w:p>
        </w:tc>
        <w:tc>
          <w:tcPr>
            <w:tcW w:w="102"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rHeight w:val="120" w:hRule="atLeast"/>
        </w:trPr>
        <w:tc>
          <w:tcPr>
            <w:tcW w:w="307" w:type="dxa"/>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20" w:type="dxa"/>
            <w:tcBorders/>
          </w:tcPr>
          <w:p>
            <w:pPr>
              <w:pStyle w:val="TableContents"/>
              <w:bidi w:val="0"/>
              <w:spacing w:before="0" w:after="283"/>
              <w:jc w:val="left"/>
              <w:rPr/>
            </w:pPr>
            <w:r>
              <w:rPr>
                <w:i/>
              </w:rPr>
              <w:t>Level</w:t>
            </w:r>
            <w:r>
              <w:rPr/>
              <w:t> </w:t>
            </w:r>
            <w:r>
              <w:rPr>
                <w:i/>
              </w:rPr>
              <w:t>3</w:t>
            </w:r>
            <w:r>
              <w:rPr/>
              <w:t>.</w:t>
            </w:r>
          </w:p>
        </w:tc>
        <w:tc>
          <w:tcPr>
            <w:tcW w:w="102"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Inputs that are unobservable for the asset or liability and that are significant to the fair value of the assets or liabilities.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present information about the Businesss financial assets and liabilities that are measured at fair value on a recurring basis, and indicate the fair value hierarchy of the valuation techniques utilized to determine such values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61"/>
        <w:gridCol w:w="386"/>
        <w:gridCol w:w="290"/>
        <w:gridCol w:w="492"/>
        <w:gridCol w:w="60"/>
        <w:gridCol w:w="386"/>
        <w:gridCol w:w="203"/>
        <w:gridCol w:w="602"/>
        <w:gridCol w:w="60"/>
        <w:gridCol w:w="386"/>
        <w:gridCol w:w="389"/>
        <w:gridCol w:w="391"/>
        <w:gridCol w:w="60"/>
        <w:gridCol w:w="386"/>
        <w:gridCol w:w="150"/>
        <w:gridCol w:w="420"/>
        <w:gridCol w:w="66"/>
      </w:tblGrid>
      <w:tr>
        <w:trPr/>
        <w:tc>
          <w:tcPr>
            <w:tcW w:w="4661"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42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28, 2024</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4275" w:type="dxa"/>
            <w:gridSpan w:val="14"/>
            <w:tcBorders/>
            <w:vAlign w:val="bottom"/>
          </w:tcPr>
          <w:p>
            <w:pPr>
              <w:pStyle w:val="TableContents"/>
              <w:bidi w:val="0"/>
              <w:spacing w:before="0" w:after="283"/>
              <w:jc w:val="center"/>
              <w:rPr>
                <w:i/>
              </w:rPr>
            </w:pPr>
            <w:r>
              <w:rPr>
                <w:i/>
              </w:rPr>
              <w:t>(in millions)</w:t>
            </w:r>
          </w:p>
        </w:tc>
        <w:tc>
          <w:tcPr>
            <w:tcW w:w="66" w:type="dxa"/>
            <w:tcBorders/>
            <w:vAlign w:val="bottom"/>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61"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 - Money market funds</w:t>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492"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20" w:type="dxa"/>
            <w:tcBorders/>
            <w:vAlign w:val="bottom"/>
          </w:tcPr>
          <w:p>
            <w:pPr>
              <w:pStyle w:val="TableContents"/>
              <w:bidi w:val="0"/>
              <w:spacing w:before="0" w:after="283"/>
              <w:jc w:val="right"/>
              <w:rPr/>
            </w:pPr>
            <w:r>
              <w:rPr/>
              <w:t>28</w:t>
            </w:r>
          </w:p>
        </w:tc>
        <w:tc>
          <w:tcPr>
            <w:tcW w:w="66" w:type="dxa"/>
            <w:tcBorders/>
            <w:vAlign w:val="bottom"/>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contracts</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20" w:type="dxa"/>
            <w:tcBorders/>
            <w:shd w:fill="CCEEFF" w:val="clear"/>
            <w:vAlign w:val="bottom"/>
          </w:tcPr>
          <w:p>
            <w:pPr>
              <w:pStyle w:val="TableContents"/>
              <w:bidi w:val="0"/>
              <w:spacing w:before="0" w:after="283"/>
              <w:jc w:val="right"/>
              <w:rPr/>
            </w:pPr>
            <w:r>
              <w:rPr/>
              <w:t>7</w:t>
            </w:r>
          </w:p>
        </w:tc>
        <w:tc>
          <w:tcPr>
            <w:tcW w:w="66" w:type="dxa"/>
            <w:tcBorders/>
            <w:shd w:fill="CCEEFF" w:val="clear"/>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4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6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 at fair value</w:t>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492"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20" w:type="dxa"/>
            <w:tcBorders/>
            <w:vAlign w:val="bottom"/>
          </w:tcPr>
          <w:p>
            <w:pPr>
              <w:pStyle w:val="TableContents"/>
              <w:bidi w:val="0"/>
              <w:spacing w:before="0" w:after="283"/>
              <w:jc w:val="right"/>
              <w:rPr/>
            </w:pPr>
            <w:r>
              <w:rPr/>
              <w:t>35</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4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2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61"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contracts</w:t>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4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20" w:type="dxa"/>
            <w:tcBorders/>
            <w:vAlign w:val="bottom"/>
          </w:tcPr>
          <w:p>
            <w:pPr>
              <w:pStyle w:val="TableContents"/>
              <w:bidi w:val="0"/>
              <w:spacing w:before="0" w:after="283"/>
              <w:jc w:val="right"/>
              <w:rPr/>
            </w:pPr>
            <w:r>
              <w:rPr/>
              <w:t>179</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4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at fair value</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179</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20" w:type="dxa"/>
            <w:tcBorders/>
            <w:shd w:fill="CCEEFF" w:val="clear"/>
            <w:vAlign w:val="bottom"/>
          </w:tcPr>
          <w:p>
            <w:pPr>
              <w:pStyle w:val="TableContents"/>
              <w:bidi w:val="0"/>
              <w:spacing w:before="0" w:after="283"/>
              <w:jc w:val="right"/>
              <w:rPr/>
            </w:pPr>
            <w:r>
              <w:rPr/>
              <w:t>179</w:t>
            </w:r>
          </w:p>
        </w:tc>
        <w:tc>
          <w:tcPr>
            <w:tcW w:w="66" w:type="dxa"/>
            <w:tcBorders/>
            <w:shd w:fill="CCEEFF" w:val="clear"/>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4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2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71"/>
        <w:gridCol w:w="392"/>
        <w:gridCol w:w="385"/>
        <w:gridCol w:w="386"/>
        <w:gridCol w:w="60"/>
        <w:gridCol w:w="392"/>
        <w:gridCol w:w="203"/>
        <w:gridCol w:w="595"/>
        <w:gridCol w:w="60"/>
        <w:gridCol w:w="392"/>
        <w:gridCol w:w="385"/>
        <w:gridCol w:w="385"/>
        <w:gridCol w:w="60"/>
        <w:gridCol w:w="392"/>
        <w:gridCol w:w="150"/>
        <w:gridCol w:w="413"/>
        <w:gridCol w:w="67"/>
      </w:tblGrid>
      <w:tr>
        <w:trPr/>
        <w:tc>
          <w:tcPr>
            <w:tcW w:w="467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7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425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2023</w:t>
            </w:r>
          </w:p>
        </w:tc>
        <w:tc>
          <w:tcPr>
            <w:tcW w:w="67"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4258" w:type="dxa"/>
            <w:gridSpan w:val="14"/>
            <w:tcBorders/>
            <w:vAlign w:val="bottom"/>
          </w:tcPr>
          <w:p>
            <w:pPr>
              <w:pStyle w:val="TableContents"/>
              <w:bidi w:val="0"/>
              <w:spacing w:before="0" w:after="283"/>
              <w:jc w:val="center"/>
              <w:rPr>
                <w:i/>
              </w:rPr>
            </w:pPr>
            <w:r>
              <w:rPr>
                <w:i/>
              </w:rPr>
              <w:t>(in millions)</w:t>
            </w:r>
          </w:p>
        </w:tc>
        <w:tc>
          <w:tcPr>
            <w:tcW w:w="67" w:type="dxa"/>
            <w:tcBorders/>
            <w:vAlign w:val="bottom"/>
          </w:tcPr>
          <w:p>
            <w:pPr>
              <w:pStyle w:val="TableContents"/>
              <w:bidi w:val="0"/>
              <w:spacing w:before="0" w:after="283"/>
              <w:jc w:val="left"/>
              <w:rPr/>
            </w:pPr>
            <w:r>
              <w:rPr/>
              <w:t> </w:t>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9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671"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contracts</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3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13" w:type="dxa"/>
            <w:tcBorders/>
            <w:vAlign w:val="bottom"/>
          </w:tcPr>
          <w:p>
            <w:pPr>
              <w:pStyle w:val="TableContents"/>
              <w:bidi w:val="0"/>
              <w:spacing w:before="0" w:after="283"/>
              <w:jc w:val="right"/>
              <w:rPr/>
            </w:pPr>
            <w:r>
              <w:rPr/>
              <w:t>31</w:t>
            </w:r>
          </w:p>
        </w:tc>
        <w:tc>
          <w:tcPr>
            <w:tcW w:w="67"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at fair value</w:t>
            </w:r>
          </w:p>
        </w:tc>
        <w:tc>
          <w:tcPr>
            <w:tcW w:w="39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13" w:type="dxa"/>
            <w:tcBorders/>
            <w:shd w:fill="CCEEFF" w:val="clear"/>
            <w:vAlign w:val="bottom"/>
          </w:tcPr>
          <w:p>
            <w:pPr>
              <w:pStyle w:val="TableContents"/>
              <w:bidi w:val="0"/>
              <w:spacing w:before="0" w:after="283"/>
              <w:jc w:val="right"/>
              <w:rPr/>
            </w:pPr>
            <w:r>
              <w:rPr/>
              <w:t>31</w:t>
            </w:r>
          </w:p>
        </w:tc>
        <w:tc>
          <w:tcPr>
            <w:tcW w:w="67" w:type="dxa"/>
            <w:tcBorders/>
            <w:shd w:fill="CCEEFF" w:val="clear"/>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1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71"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contracts</w:t>
            </w:r>
          </w:p>
        </w:tc>
        <w:tc>
          <w:tcPr>
            <w:tcW w:w="39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171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13" w:type="dxa"/>
            <w:tcBorders/>
            <w:shd w:fill="CCEEFF" w:val="clear"/>
            <w:vAlign w:val="bottom"/>
          </w:tcPr>
          <w:p>
            <w:pPr>
              <w:pStyle w:val="TableContents"/>
              <w:bidi w:val="0"/>
              <w:spacing w:before="0" w:after="283"/>
              <w:jc w:val="right"/>
              <w:rPr/>
            </w:pPr>
            <w:r>
              <w:rPr/>
              <w:t>171</w:t>
            </w:r>
          </w:p>
        </w:tc>
        <w:tc>
          <w:tcPr>
            <w:tcW w:w="67" w:type="dxa"/>
            <w:tcBorders/>
            <w:shd w:fill="CCEEFF" w:val="clear"/>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7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at fair value</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3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13" w:type="dxa"/>
            <w:tcBorders/>
            <w:vAlign w:val="bottom"/>
          </w:tcPr>
          <w:p>
            <w:pPr>
              <w:pStyle w:val="TableContents"/>
              <w:bidi w:val="0"/>
              <w:spacing w:before="0" w:after="283"/>
              <w:jc w:val="right"/>
              <w:rPr/>
            </w:pPr>
            <w:r>
              <w:rPr/>
              <w:t>171</w:t>
            </w:r>
          </w:p>
        </w:tc>
        <w:tc>
          <w:tcPr>
            <w:tcW w:w="67"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1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Money Market Funds.</w:t>
      </w:r>
      <w:r>
        <w:rPr>
          <w:rFonts w:ascii="Times New Roman" w:hAnsi="Times New Roman"/>
          <w:sz w:val="20"/>
        </w:rPr>
        <w:t xml:space="preserve"> The Businesss money market funds are funds invested in U.S. Treasury and U.S. Government agency securities. Money market funds are valued based on quoted market prices. </w:t>
      </w:r>
    </w:p>
    <w:p>
      <w:pPr>
        <w:pStyle w:val="TextBody"/>
        <w:bidi w:val="0"/>
        <w:spacing w:before="240" w:after="0"/>
        <w:jc w:val="left"/>
        <w:rPr>
          <w:rFonts w:ascii="Times New Roman" w:hAnsi="Times New Roman"/>
          <w:sz w:val="20"/>
        </w:rPr>
      </w:pPr>
      <w:r>
        <w:rPr>
          <w:rFonts w:ascii="Times New Roman" w:hAnsi="Times New Roman"/>
          <w:i/>
          <w:sz w:val="20"/>
        </w:rPr>
        <w:t xml:space="preserve">Foreign Exchange Contracts. </w:t>
      </w:r>
      <w:r>
        <w:rPr>
          <w:rFonts w:ascii="Times New Roman" w:hAnsi="Times New Roman"/>
          <w:sz w:val="20"/>
        </w:rPr>
        <w:t xml:space="preserve">The Businesss foreign exchange contracts are short-term contracts to hedge the Businesss foreign currency risk. Foreign exchange contracts are valued using an income approach that is based on the present value of a future cash flows model. The market-based observable inputs for the model include forward rates and credit default swap rates. For more information on the Businesss foreign exchange contracts, see Note 7, </w:t>
      </w:r>
      <w:r>
        <w:rPr>
          <w:rFonts w:ascii="Times New Roman" w:hAnsi="Times New Roman"/>
          <w:i/>
          <w:sz w:val="20"/>
        </w:rPr>
        <w:t>Derivative Instruments and Hedging Activities</w:t>
      </w:r>
      <w:r>
        <w:rPr>
          <w:rFonts w:ascii="Times New Roman" w:hAnsi="Times New Roman"/>
          <w:sz w:val="20"/>
        </w:rPr>
        <w:t xml:space="preserve">. Derivative assets and liabilities are reflected in the Businesss Combined Balance Sheets under other current assets and accrued expenses,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During 2024 and 2023, the Business had no transfers of financial assets and liabilities between levels and there were no changes in valuation techniques and the inputs used in the fair value measurement. </w:t>
      </w:r>
    </w:p>
    <w:p>
      <w:pPr>
        <w:pStyle w:val="TextBody"/>
        <w:bidi w:val="0"/>
        <w:spacing w:before="360" w:after="0"/>
        <w:jc w:val="left"/>
        <w:rPr>
          <w:rFonts w:ascii="Times New Roman" w:hAnsi="Times New Roman"/>
          <w:b/>
          <w:sz w:val="20"/>
        </w:rPr>
      </w:pPr>
      <w:r>
        <w:rPr>
          <w:rFonts w:ascii="Times New Roman" w:hAnsi="Times New Roman"/>
          <w:b/>
          <w:sz w:val="20"/>
        </w:rPr>
        <w:t xml:space="preserve">Note 7. Derivative Instruments and Hedging Activities </w:t>
      </w:r>
    </w:p>
    <w:p>
      <w:pPr>
        <w:pStyle w:val="TextBody"/>
        <w:bidi w:val="0"/>
        <w:spacing w:before="120" w:after="0"/>
        <w:jc w:val="left"/>
        <w:rPr>
          <w:rFonts w:ascii="Times New Roman" w:hAnsi="Times New Roman"/>
          <w:sz w:val="20"/>
        </w:rPr>
      </w:pPr>
      <w:r>
        <w:rPr>
          <w:rFonts w:ascii="Times New Roman" w:hAnsi="Times New Roman"/>
          <w:sz w:val="20"/>
        </w:rPr>
        <w:t xml:space="preserve">As of June 28, 2024, the Business had outstanding foreign exchange forward contracts that were designated as either cash flow hedges or non-designated hedges. Substantially all of the contract maturity dates of these foreign exchange forward contracts do not exceed twelve months. As of June 28, 2024, the Business did not have any derivative contracts with credit-risk-related contingent features.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Changes in the fair values of the non-designated foreign exchange contracts are recognized in other income, net and are largely offset by corresponding changes in the fair values of the foreign currency denominated monetary assets and liabilities. For 2024, 2023 and 2022 total net realized and unrealized transaction and foreign exchange contract currency losses were $4 million, $5 million and $4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Unrealized gains or losses on designated cash flow hedges are recognized in AOCL. For more information regarding cash flow hedges, see Note 5, </w:t>
      </w:r>
      <w:r>
        <w:rPr>
          <w:rFonts w:ascii="Times New Roman" w:hAnsi="Times New Roman"/>
          <w:i/>
          <w:sz w:val="20"/>
        </w:rPr>
        <w:t>Supplemental Financial Statement DataAccumulated other comprehensive loss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Note 8. Employee Benefit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Defined Benefit Plans </w:t>
      </w:r>
    </w:p>
    <w:p>
      <w:pPr>
        <w:pStyle w:val="TextBody"/>
        <w:bidi w:val="0"/>
        <w:spacing w:before="120" w:after="0"/>
        <w:jc w:val="left"/>
        <w:rPr>
          <w:rFonts w:ascii="Times New Roman" w:hAnsi="Times New Roman"/>
          <w:sz w:val="20"/>
        </w:rPr>
      </w:pPr>
      <w:r>
        <w:rPr>
          <w:rFonts w:ascii="Times New Roman" w:hAnsi="Times New Roman"/>
          <w:sz w:val="20"/>
        </w:rPr>
        <w:t xml:space="preserve">The Business sponsors a defined benefit pension plan that is solely available for employees located in South Korea. As of June 28, 2024, and June 30, 2023, the plan had a net unfunded status of $6 million and $5 million, respectively, reported within other liabilities on the Combined Balance Sheets. Total pension expense included in cost of revenue and operating expenses in the Combined Statements of Operations was not material for each of the fiscal years ended June 28, 2024, June 30, 2023, and July 1, 2022. No employees of the Business participate in defined benefit pension plans sponsored by the Parent or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Defined Contribution Plans </w:t>
      </w:r>
    </w:p>
    <w:p>
      <w:pPr>
        <w:pStyle w:val="TextBody"/>
        <w:bidi w:val="0"/>
        <w:spacing w:before="120" w:after="0"/>
        <w:jc w:val="left"/>
        <w:rPr>
          <w:rFonts w:ascii="Times New Roman" w:hAnsi="Times New Roman"/>
          <w:sz w:val="20"/>
        </w:rPr>
      </w:pPr>
      <w:r>
        <w:rPr>
          <w:rFonts w:ascii="Times New Roman" w:hAnsi="Times New Roman"/>
          <w:sz w:val="20"/>
        </w:rPr>
        <w:t xml:space="preserve">Our eligible employees participate in a 401(k)-matching program, Western Digital Corporation 401(k) Plan (the Plan), maintained by the Parent.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 </w:t>
      </w:r>
    </w:p>
    <w:p>
      <w:pPr>
        <w:pStyle w:val="TextBody"/>
        <w:bidi w:val="0"/>
        <w:spacing w:before="240" w:after="0"/>
        <w:jc w:val="left"/>
        <w:rPr>
          <w:rFonts w:ascii="Times New Roman" w:hAnsi="Times New Roman"/>
          <w:sz w:val="20"/>
        </w:rPr>
      </w:pPr>
      <w:r>
        <w:rPr>
          <w:rFonts w:ascii="Times New Roman" w:hAnsi="Times New Roman"/>
          <w:sz w:val="20"/>
        </w:rPr>
        <w:t xml:space="preserve">Through December 31, 2021, eligible employees were generally able to contribute up to 75% of their eligible compensation on a combined pre-tax and Roth basis, 10% on a combined pre-tax catch-up and Roth catch-up basis, and 10% on a non-Roth after-tax basis subject to Internal Revenue Service (IRS) limitations. Eligible employees are generally able to contribute up to 85% of their eligible compensation on a combined pre-tax and Roth basis regardless of age, and 10% of their eligible compensation on an after-tax basis, all subject to IRS limitations. The Business may make a basic matching contribution equal to 50% of each eligible participants contribution that does not exceed 6% of the eligible participants annual compensation in the year of contribution. Furthermore, the Businesss employer matching contributions vest immediately. Contributions, including the Businesss matching contribution to the Plan, are recorded as soon as administratively possible after the Business makes payroll deductions from Plan participants. </w:t>
      </w:r>
    </w:p>
    <w:p>
      <w:pPr>
        <w:pStyle w:val="TextBody"/>
        <w:bidi w:val="0"/>
        <w:spacing w:before="240" w:after="0"/>
        <w:jc w:val="left"/>
        <w:rPr>
          <w:rFonts w:ascii="Times New Roman" w:hAnsi="Times New Roman"/>
          <w:sz w:val="20"/>
        </w:rPr>
      </w:pPr>
      <w:r>
        <w:rPr>
          <w:rFonts w:ascii="Times New Roman" w:hAnsi="Times New Roman"/>
          <w:sz w:val="20"/>
        </w:rPr>
        <w:t xml:space="preserve">Effective February 18, 2023, the Business announced its decision to suspend matching contributions through the end of the calendar year 2023. The Business later resumed matching contributions on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For 2024, 2023 and 2022, the Plan contributions attributable to the Business were $5 million, $9 million and $15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9. Related Parties and Related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Flash Ventures </w:t>
      </w:r>
    </w:p>
    <w:p>
      <w:pPr>
        <w:pStyle w:val="TextBody"/>
        <w:bidi w:val="0"/>
        <w:spacing w:before="240" w:after="0"/>
        <w:jc w:val="left"/>
        <w:rPr>
          <w:rFonts w:ascii="Times New Roman" w:hAnsi="Times New Roman"/>
          <w:sz w:val="20"/>
        </w:rPr>
      </w:pPr>
      <w:r>
        <w:rPr>
          <w:rFonts w:ascii="Times New Roman" w:hAnsi="Times New Roman"/>
          <w:sz w:val="20"/>
        </w:rPr>
        <w:t>The Business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Business has a 49.9% ownership interest and Kioxia has a 50.1% ownership interest in each of these entities. Through Flash Ventures, the Business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Business and Kioxia at cost plus a markup</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Flash Partners</w:t>
      </w:r>
      <w:r>
        <w:rPr>
          <w:rFonts w:ascii="Times New Roman" w:hAnsi="Times New Roman"/>
          <w:b/>
          <w:sz w:val="20"/>
        </w:rPr>
        <w:t>.</w:t>
      </w:r>
      <w:r>
        <w:rPr>
          <w:rFonts w:ascii="Times New Roman" w:hAnsi="Times New Roman"/>
          <w:sz w:val="20"/>
        </w:rPr>
        <w:t xml:space="preserve"> Flash Partners was formed in 2004 in connection with the construction of Kioxias Y3 300-millimeter wafer fabrication facility located in Yokkaichi, Japan. </w:t>
      </w:r>
    </w:p>
    <w:p>
      <w:pPr>
        <w:pStyle w:val="TextBody"/>
        <w:bidi w:val="0"/>
        <w:spacing w:before="240" w:after="0"/>
        <w:jc w:val="left"/>
        <w:rPr>
          <w:rFonts w:ascii="Times New Roman" w:hAnsi="Times New Roman"/>
          <w:sz w:val="20"/>
        </w:rPr>
      </w:pPr>
      <w:r>
        <w:rPr>
          <w:rFonts w:ascii="Times New Roman" w:hAnsi="Times New Roman"/>
          <w:b/>
          <w:i/>
          <w:sz w:val="20"/>
        </w:rPr>
        <w:t>Flash Alliance</w:t>
      </w:r>
      <w:r>
        <w:rPr>
          <w:rFonts w:ascii="Times New Roman" w:hAnsi="Times New Roman"/>
          <w:i/>
          <w:sz w:val="20"/>
        </w:rPr>
        <w:t>.</w:t>
      </w:r>
      <w:r>
        <w:rPr>
          <w:rFonts w:ascii="Times New Roman" w:hAnsi="Times New Roman"/>
          <w:sz w:val="20"/>
        </w:rPr>
        <w:t xml:space="preserve"> Flash Alliance was formed in 2006 in connection with the construction of Kioxias Y4 300-millimeter wafer fabrication facility located in Yokkaichi, Japan. </w:t>
      </w:r>
    </w:p>
    <w:p>
      <w:pPr>
        <w:pStyle w:val="TextBody"/>
        <w:bidi w:val="0"/>
        <w:spacing w:before="240" w:after="0"/>
        <w:jc w:val="left"/>
        <w:rPr>
          <w:rFonts w:ascii="Times New Roman" w:hAnsi="Times New Roman"/>
          <w:sz w:val="20"/>
        </w:rPr>
      </w:pPr>
      <w:r>
        <w:rPr>
          <w:rFonts w:ascii="Times New Roman" w:hAnsi="Times New Roman"/>
          <w:b/>
          <w:i/>
          <w:sz w:val="20"/>
        </w:rPr>
        <w:t>Flash Forward</w:t>
      </w:r>
      <w:r>
        <w:rPr>
          <w:rFonts w:ascii="Times New Roman" w:hAnsi="Times New Roman"/>
          <w:b/>
          <w:sz w:val="20"/>
        </w:rPr>
        <w:t>.</w:t>
      </w:r>
      <w:r>
        <w:rPr>
          <w:rFonts w:ascii="Times New Roman" w:hAnsi="Times New Roman"/>
          <w:sz w:val="20"/>
        </w:rPr>
        <w:t xml:space="preserve"> Flash Forward was formed in 2010 in connection with the construction of Kioxias Y5 300-millimeter wafer fabrication facility located in Yokkaichi, Japan. Y5 was built in two phases of approximately equal size. </w:t>
      </w:r>
    </w:p>
    <w:p>
      <w:pPr>
        <w:pStyle w:val="TextBody"/>
        <w:bidi w:val="0"/>
        <w:spacing w:before="240" w:after="0"/>
        <w:jc w:val="left"/>
        <w:rPr>
          <w:rFonts w:ascii="Times New Roman" w:hAnsi="Times New Roman"/>
          <w:sz w:val="20"/>
        </w:rPr>
      </w:pPr>
      <w:r>
        <w:rPr>
          <w:rFonts w:ascii="Times New Roman" w:hAnsi="Times New Roman"/>
          <w:b/>
          <w:i/>
          <w:sz w:val="20"/>
        </w:rPr>
        <w:t>New Y2</w:t>
      </w:r>
      <w:r>
        <w:rPr>
          <w:rFonts w:ascii="Times New Roman" w:hAnsi="Times New Roman"/>
          <w:b/>
          <w:sz w:val="20"/>
        </w:rPr>
        <w:t>.</w:t>
      </w:r>
      <w:r>
        <w:rPr>
          <w:rFonts w:ascii="Times New Roman" w:hAnsi="Times New Roman"/>
          <w:sz w:val="20"/>
        </w:rPr>
        <w:t xml:space="preserve"> The Business has a facility agreement with Kioxia related to the construction and operation of Kioxias New Y2 300-millimeter wafer fabrication facility located in Yokkaichi, Japan. New Y2 primarily provided additional clean room space to convert a portion of 2-dimensional (2D) flash-based wafer production capacity to 3-dimensional (3D) flash-based wafer production capacity. Production of flash-based wafers in New Y2 started in 2016. </w:t>
      </w:r>
    </w:p>
    <w:p>
      <w:pPr>
        <w:pStyle w:val="TextBody"/>
        <w:bidi w:val="0"/>
        <w:spacing w:before="240" w:after="0"/>
        <w:jc w:val="left"/>
        <w:rPr>
          <w:rFonts w:ascii="Times New Roman" w:hAnsi="Times New Roman"/>
          <w:sz w:val="20"/>
        </w:rPr>
      </w:pPr>
      <w:r>
        <w:rPr>
          <w:rFonts w:ascii="Times New Roman" w:hAnsi="Times New Roman"/>
          <w:b/>
          <w:i/>
          <w:sz w:val="20"/>
        </w:rPr>
        <w:t>Y6</w:t>
      </w:r>
      <w:r>
        <w:rPr>
          <w:rFonts w:ascii="Times New Roman" w:hAnsi="Times New Roman"/>
          <w:b/>
          <w:sz w:val="20"/>
        </w:rPr>
        <w:t>.</w:t>
      </w:r>
      <w:r>
        <w:rPr>
          <w:rFonts w:ascii="Times New Roman" w:hAnsi="Times New Roman"/>
          <w:sz w:val="20"/>
        </w:rPr>
        <w:t xml:space="preserve"> The Business also has a facility agreement with Kioxia related to the construction and operation of Kioxias Y6 300-millimeter wafer fabrication facility in Yokkaichi, Japan. Y6 is primarily intended to provide clean room space to continue the transition of existing 2D flash-based wafer capacity to 3D flash-based wafer production capacity. Production of flash-based wafers in Y6 started in 2018. </w:t>
      </w:r>
    </w:p>
    <w:p>
      <w:pPr>
        <w:pStyle w:val="TextBody"/>
        <w:bidi w:val="0"/>
        <w:spacing w:before="240" w:after="0"/>
        <w:jc w:val="left"/>
        <w:rPr>
          <w:rFonts w:ascii="Times New Roman" w:hAnsi="Times New Roman"/>
          <w:sz w:val="20"/>
        </w:rPr>
      </w:pPr>
      <w:r>
        <w:rPr>
          <w:rFonts w:ascii="Times New Roman" w:hAnsi="Times New Roman"/>
          <w:b/>
          <w:i/>
          <w:sz w:val="20"/>
        </w:rPr>
        <w:t>K1</w:t>
      </w:r>
      <w:r>
        <w:rPr>
          <w:rFonts w:ascii="Times New Roman" w:hAnsi="Times New Roman"/>
          <w:b/>
          <w:sz w:val="20"/>
        </w:rPr>
        <w:t>.</w:t>
      </w:r>
      <w:r>
        <w:rPr>
          <w:rFonts w:ascii="Times New Roman" w:hAnsi="Times New Roman"/>
          <w:sz w:val="20"/>
        </w:rPr>
        <w:t xml:space="preserve"> The Business also has a facility agreement with Kioxia related to the construction and operation of Kioxias K1 300-millimeter wafer fabrication facility in Kitakami, Japan. The primary purpose of K1 is to provide clean room space to continue the transition of existing flash-based wafer capacity to newer technology nodes. Production of flash-based wafers in K1 started in 2019. </w:t>
      </w:r>
    </w:p>
    <w:p>
      <w:pPr>
        <w:pStyle w:val="TextBody"/>
        <w:bidi w:val="0"/>
        <w:spacing w:before="240" w:after="0"/>
        <w:jc w:val="left"/>
        <w:rPr>
          <w:rFonts w:ascii="Times New Roman" w:hAnsi="Times New Roman"/>
          <w:sz w:val="20"/>
        </w:rPr>
      </w:pPr>
      <w:r>
        <w:rPr>
          <w:rFonts w:ascii="Times New Roman" w:hAnsi="Times New Roman"/>
          <w:b/>
          <w:i/>
          <w:sz w:val="20"/>
        </w:rPr>
        <w:t>Y7.</w:t>
      </w:r>
      <w:r>
        <w:rPr>
          <w:rFonts w:ascii="Times New Roman" w:hAnsi="Times New Roman"/>
          <w:sz w:val="20"/>
        </w:rPr>
        <w:t xml:space="preserve"> In January 2022, the Business entered into additional agreements regarding Flash Ventures investment in a new wafer fabrication facility in Yokkaichi, Japan, referred to as Y7. The primary purpose of Y7 is to provide clean room space to continue the transition of existing flash-based wafer capacity to newer flash technology nodes. Production of flash-based wafers in Y7 started in 2022. </w:t>
      </w:r>
    </w:p>
    <w:p>
      <w:pPr>
        <w:pStyle w:val="TextBody"/>
        <w:bidi w:val="0"/>
        <w:spacing w:before="240" w:after="0"/>
        <w:jc w:val="left"/>
        <w:rPr>
          <w:rFonts w:ascii="Times New Roman" w:hAnsi="Times New Roman"/>
          <w:sz w:val="20"/>
        </w:rPr>
      </w:pPr>
      <w:r>
        <w:rPr>
          <w:rFonts w:ascii="Times New Roman" w:hAnsi="Times New Roman"/>
          <w:b/>
          <w:i/>
          <w:sz w:val="20"/>
        </w:rPr>
        <w:t>K2</w:t>
      </w:r>
      <w:r>
        <w:rPr>
          <w:rFonts w:ascii="Times New Roman" w:hAnsi="Times New Roman"/>
          <w:i/>
          <w:sz w:val="20"/>
        </w:rPr>
        <w:t xml:space="preserve">. </w:t>
      </w:r>
      <w:r>
        <w:rPr>
          <w:rFonts w:ascii="Times New Roman" w:hAnsi="Times New Roman"/>
          <w:sz w:val="20"/>
        </w:rPr>
        <w:t xml:space="preserve">In June 2024, the Business entered into additional agreements regarding Flash Ventures investment in a new wafer fabrication facility in Kitakami, Japan, referred to as K2. The primary purpose of K2 is to provide clean room space to continue the transition of existing flash-based wafer capacity to newer flash technology nodes. Output from K2 is expected to begin in the first half of fiscal year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start-up of the K1, K2 and Y7 facilities, the Business has made prepayments over time, toward future building depreciation. During 2024, the Business made $74 million of prepayments and as of June 28, 2024, $523 million remained to be credited against future building depreciation charges. </w:t>
      </w:r>
    </w:p>
    <w:p>
      <w:pPr>
        <w:pStyle w:val="TextBody"/>
        <w:bidi w:val="0"/>
        <w:spacing w:before="240" w:after="0"/>
        <w:jc w:val="left"/>
        <w:rPr>
          <w:rFonts w:ascii="Times New Roman" w:hAnsi="Times New Roman"/>
          <w:sz w:val="20"/>
        </w:rPr>
      </w:pPr>
      <w:r>
        <w:rPr>
          <w:rFonts w:ascii="Times New Roman" w:hAnsi="Times New Roman"/>
          <w:sz w:val="20"/>
        </w:rPr>
        <w:t xml:space="preserve">As of June 28, 2024, the Business is committed to make additional building depreciation payments of $610 million. The additional future payments are scheduled as follows, based on Japanese yen to U.S. dollars exchange rate as of June 28, 2024: $372 million in fiscal year 2025, $29 million in fiscal year 2026, $109 million in fiscal year 2027, $87 million in fiscal year 2028, and $13 million in fiscal year 2029. As of June 28, 2024, in addition to the requirements to make building depreciation prepayments, the Business will also make payments for building depreciation of approximately $290 million at varying dates through fiscal year 2035. </w:t>
      </w:r>
    </w:p>
    <w:p>
      <w:pPr>
        <w:pStyle w:val="TextBody"/>
        <w:bidi w:val="0"/>
        <w:spacing w:before="240" w:after="0"/>
        <w:jc w:val="left"/>
        <w:rPr>
          <w:rFonts w:ascii="Times New Roman" w:hAnsi="Times New Roman"/>
          <w:sz w:val="20"/>
        </w:rPr>
      </w:pPr>
      <w:r>
        <w:rPr>
          <w:rFonts w:ascii="Times New Roman" w:hAnsi="Times New Roman"/>
          <w:sz w:val="20"/>
        </w:rPr>
        <w:t xml:space="preserve">The Business accounts for its ownership position of each entity within Flash Ventures under the equity method of accounting. The financial and other support provided by the Business in all periods presented was either contractually required or the result of a joint decision to expand wafer capacity, transition to new technologies or refinance existing equipment lease commitments. Entities within Flash Ventures are VIEs. The Business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Business is the primary beneficiary, the Business analyzed the primary purpose and design of Flash Ventures, the activities that most significantly impact Flash Ventures economic performance, and whether the Business had the power to direct those activities. The Business concluded, based upon its 49.9% ownership, the voting structure and the manner in which the day-to-day operations are conducted for each entity within Flash Ventures, that the Business lacked the power to direct most of the activities that most significantly impact the economic performance of each entity within Flash Ventures.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notes receivable from, and equity investments in, Flash Ventures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12"/>
        <w:gridCol w:w="424"/>
        <w:gridCol w:w="177"/>
        <w:gridCol w:w="709"/>
        <w:gridCol w:w="60"/>
        <w:gridCol w:w="424"/>
        <w:gridCol w:w="177"/>
        <w:gridCol w:w="709"/>
        <w:gridCol w:w="63"/>
      </w:tblGrid>
      <w:tr>
        <w:trPr/>
        <w:tc>
          <w:tcPr>
            <w:tcW w:w="5012"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1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3"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256" w:type="dxa"/>
            <w:gridSpan w:val="6"/>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Flash Partners</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37</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Notes receivable, Flash Alliance</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Flash Forward</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485</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709</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Flash Partners</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160</w:t>
            </w:r>
          </w:p>
        </w:tc>
        <w:tc>
          <w:tcPr>
            <w:tcW w:w="63"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 Flash Alliance</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219</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274</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Flash Forward</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notes receivable and investments in Flash Ventures</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1,001</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1,411</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2024, 2023 and 2022 the Business made net payments to Flash Ventures of $3.35 billion, $4.20 billion, $4.70 billion for purchased flash-based memory wafers and net loans. </w:t>
      </w:r>
    </w:p>
    <w:p>
      <w:pPr>
        <w:pStyle w:val="TextBody"/>
        <w:bidi w:val="0"/>
        <w:spacing w:before="240" w:after="0"/>
        <w:jc w:val="left"/>
        <w:rPr>
          <w:rFonts w:ascii="Times New Roman" w:hAnsi="Times New Roman"/>
          <w:sz w:val="20"/>
        </w:rPr>
      </w:pPr>
      <w:r>
        <w:rPr>
          <w:rFonts w:ascii="Times New Roman" w:hAnsi="Times New Roman"/>
          <w:sz w:val="20"/>
        </w:rPr>
        <w:t xml:space="preserve">The Business makes, or will make, loans to Flash Ventures to fund equipment investments for new process technologies and additional wafer capacity. The Business aggregates its Flash Ventures notes receivable into one class of financing receivables due to the similar ownership interest and common structure in each Flash Venture entity. For all reporting periods presented, no loans were past due, and no loan impairments were recorded. The Businesss notes receivable from each Flash Ventures entity, denominated in Japanese yen, are secured by equipment owned by that Flash Ventures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June 28, 2024, and June 30, 2023, the Business had accounts payable balances due to Flash Ventures of $313 million and $292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Businesss maximum reasonably estimable loss exposure (excluding lost profits) as a result of its involvement with Flash Ventures, based upon the Japanese yen to U.S. dollar exchange rate at June 28, 2024, is presented below. Investments in Flash Ventures are denominated in Japanese yen, and the maximum estimable loss exposure excludes any cumulative translation adjustment due to revaluation from the Japanese yen to the U.S. dollar.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3"/>
        <w:gridCol w:w="602"/>
        <w:gridCol w:w="140"/>
        <w:gridCol w:w="1092"/>
        <w:gridCol w:w="62"/>
      </w:tblGrid>
      <w:tr>
        <w:trPr/>
        <w:tc>
          <w:tcPr>
            <w:tcW w:w="5043"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43" w:type="dxa"/>
            <w:tcBorders/>
            <w:shd w:fill="CCEEFF" w:val="clear"/>
            <w:vAlign w:val="bottom"/>
          </w:tcPr>
          <w:p>
            <w:pPr>
              <w:pStyle w:val="TableContents"/>
              <w:bidi w:val="0"/>
              <w:spacing w:before="0" w:after="283"/>
              <w:jc w:val="left"/>
              <w:rPr>
                <w:sz w:val="4"/>
                <w:szCs w:val="4"/>
              </w:rPr>
            </w:pPr>
            <w:r>
              <w:rPr>
                <w:sz w:val="4"/>
                <w:szCs w:val="4"/>
              </w:rPr>
            </w:r>
          </w:p>
        </w:tc>
        <w:tc>
          <w:tcPr>
            <w:tcW w:w="602" w:type="dxa"/>
            <w:tcBorders/>
            <w:shd w:fill="CCEEFF" w:val="clear"/>
            <w:vAlign w:val="bottom"/>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bottom"/>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bottom"/>
          </w:tcPr>
          <w:p>
            <w:pPr>
              <w:pStyle w:val="TableContents"/>
              <w:bidi w:val="0"/>
              <w:spacing w:before="0" w:after="283"/>
              <w:jc w:val="center"/>
              <w:rPr>
                <w:b/>
              </w:rPr>
            </w:pPr>
            <w:r>
              <w:rPr>
                <w:b/>
              </w:rPr>
              <w:t>June 28,</w:t>
              <w:br/>
              <w:t>2024</w:t>
            </w:r>
          </w:p>
        </w:tc>
        <w:tc>
          <w:tcPr>
            <w:tcW w:w="62" w:type="dxa"/>
            <w:tcBorders/>
            <w:shd w:fill="CCEEFF" w:val="clear"/>
            <w:vAlign w:val="bottom"/>
          </w:tcPr>
          <w:p>
            <w:pPr>
              <w:pStyle w:val="TableContents"/>
              <w:bidi w:val="0"/>
              <w:spacing w:before="0" w:after="283"/>
              <w:jc w:val="left"/>
              <w:rPr/>
            </w:pPr>
            <w:r>
              <w:rPr/>
              <w:t> </w:t>
            </w:r>
            <w:r>
              <w:rPr>
                <w:b/>
              </w:rPr>
              <w:br/>
              <w:t> </w:t>
            </w:r>
          </w:p>
        </w:tc>
      </w:tr>
      <w:tr>
        <w:trPr/>
        <w:tc>
          <w:tcPr>
            <w:tcW w:w="5043"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center"/>
              <w:rPr>
                <w:i/>
              </w:rPr>
            </w:pPr>
            <w:r>
              <w:rPr>
                <w:i/>
              </w:rPr>
              <w:t>(in millions)</w:t>
            </w:r>
          </w:p>
        </w:tc>
        <w:tc>
          <w:tcPr>
            <w:tcW w:w="62"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w:t>
            </w:r>
          </w:p>
        </w:tc>
        <w:tc>
          <w:tcPr>
            <w:tcW w:w="6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2" w:type="dxa"/>
            <w:tcBorders/>
            <w:shd w:fill="CCEEFF" w:val="clear"/>
            <w:vAlign w:val="bottom"/>
          </w:tcPr>
          <w:p>
            <w:pPr>
              <w:pStyle w:val="TableContents"/>
              <w:bidi w:val="0"/>
              <w:spacing w:before="0" w:after="283"/>
              <w:jc w:val="right"/>
              <w:rPr/>
            </w:pPr>
            <w:r>
              <w:rPr/>
              <w:t>491</w:t>
            </w:r>
          </w:p>
        </w:tc>
        <w:tc>
          <w:tcPr>
            <w:tcW w:w="62"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6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510</w:t>
            </w:r>
          </w:p>
        </w:tc>
        <w:tc>
          <w:tcPr>
            <w:tcW w:w="62"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guarantees</w:t>
            </w:r>
          </w:p>
        </w:tc>
        <w:tc>
          <w:tcPr>
            <w:tcW w:w="6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1,299</w:t>
            </w:r>
          </w:p>
        </w:tc>
        <w:tc>
          <w:tcPr>
            <w:tcW w:w="62"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Inventory and prepayments</w:t>
            </w:r>
          </w:p>
        </w:tc>
        <w:tc>
          <w:tcPr>
            <w:tcW w:w="6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1,069</w:t>
            </w:r>
          </w:p>
        </w:tc>
        <w:tc>
          <w:tcPr>
            <w:tcW w:w="62"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Maximum estimable loss exposure</w:t>
            </w:r>
          </w:p>
        </w:tc>
        <w:tc>
          <w:tcPr>
            <w:tcW w:w="6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2" w:type="dxa"/>
            <w:tcBorders/>
            <w:shd w:fill="CCEEFF" w:val="clear"/>
            <w:vAlign w:val="bottom"/>
          </w:tcPr>
          <w:p>
            <w:pPr>
              <w:pStyle w:val="TableContents"/>
              <w:bidi w:val="0"/>
              <w:spacing w:before="0" w:after="283"/>
              <w:jc w:val="right"/>
              <w:rPr/>
            </w:pPr>
            <w:r>
              <w:rPr/>
              <w:t>3,369</w:t>
            </w:r>
          </w:p>
        </w:tc>
        <w:tc>
          <w:tcPr>
            <w:tcW w:w="62" w:type="dxa"/>
            <w:tcBorders/>
            <w:shd w:fill="CCEEFF" w:val="clear"/>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28, 2024, the Businesss Parent company net investment included undistributed earnings of Flash Ventures of $162 million. </w:t>
      </w:r>
    </w:p>
    <w:p>
      <w:pPr>
        <w:pStyle w:val="TextBody"/>
        <w:bidi w:val="0"/>
        <w:spacing w:before="240" w:after="0"/>
        <w:jc w:val="left"/>
        <w:rPr>
          <w:rFonts w:ascii="Times New Roman" w:hAnsi="Times New Roman"/>
          <w:sz w:val="20"/>
        </w:rPr>
      </w:pPr>
      <w:r>
        <w:rPr>
          <w:rFonts w:ascii="Times New Roman" w:hAnsi="Times New Roman"/>
          <w:sz w:val="20"/>
        </w:rPr>
        <w:t xml:space="preserve">The Business is obligated to pay for variable costs incurred in producing its share of Flash Ventures flash-based memory wafer supply, based on its three-month forecast, which generally equals 50% of Flash Ventures output. In addition, the Business is obligated to pay for half of Flash Ventures fixed costs regardless of the output the Business chooses to purchase. The Business is not able to estimate its total wafer purchase commitment obligation beyond its rolling three-month purchase commitment because the price is determined by reference to the future cost of producing the semiconductor wafers. In addition, the Business is committed to fund 49.9% to 50.0% of capital investments that a Flash Ventures entity decided to make to the extent that Flash Ventures entitys operating cash flow is insufficient to fund these investments. </w:t>
      </w:r>
    </w:p>
    <w:p>
      <w:pPr>
        <w:pStyle w:val="TextBody"/>
        <w:bidi w:val="0"/>
        <w:spacing w:before="240" w:after="0"/>
        <w:jc w:val="left"/>
        <w:rPr>
          <w:rFonts w:ascii="Times New Roman" w:hAnsi="Times New Roman"/>
          <w:sz w:val="20"/>
        </w:rPr>
      </w:pPr>
      <w:r>
        <w:rPr>
          <w:rFonts w:ascii="Times New Roman" w:hAnsi="Times New Roman"/>
          <w:sz w:val="20"/>
        </w:rPr>
        <w:t xml:space="preserve">Flash Ventures has historically operated near 100% of its manufacturing capacity. During 2024 and 2023, as a result of flash business conditions, the Business temporarily reduced its utilization of its share of Flash Ventures manufacturing capacity to an abnormally low level to more closely align the Businesss flash-based wafer supply with projected demand. In 2024 and 2023, the Business incurred costs of $249 million and $286 million, respectively, associated with the reduction in utilization related to Flash Ventures, which was recorded as a charge to cost of revenue.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2022, contamination of certain material used in manufacturing processes occurred at both the Yokkaichi and Kitakami, Japan fabrication facilities, resulting in damage to inventory units in production, a temporary disruption to production operations and a reduction in the Businesss flash wafer availability. During 2022, the Business incurred charges of $207 million related to this contamination incident that were recorded in cost of revenue, which primarily consisted of scrapped inventory and rework costs, decontamination and other costs needed to restore the facilities to normal capacity and under absorption of overhead costs. During 2024, the Business received a recovery of $36 million related to this incident from its insurance carriers, which was recorded in cost of revenue. The Business continues to pursue recovery of its remaining losses associated with this event; however, the total amount of recovery cannot be estimated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Inventory Purchase Commitments with Flash Ventures. </w:t>
      </w:r>
    </w:p>
    <w:p>
      <w:pPr>
        <w:pStyle w:val="TextBody"/>
        <w:bidi w:val="0"/>
        <w:spacing w:before="120" w:after="0"/>
        <w:jc w:val="left"/>
        <w:rPr>
          <w:rFonts w:ascii="Times New Roman" w:hAnsi="Times New Roman"/>
          <w:sz w:val="20"/>
        </w:rPr>
      </w:pPr>
      <w:r>
        <w:rPr>
          <w:rFonts w:ascii="Times New Roman" w:hAnsi="Times New Roman"/>
          <w:sz w:val="20"/>
        </w:rPr>
        <w:t xml:space="preserve">Purchase orders placed under Flash Ventures for up to three months are binding and cannot be canceled.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Business participates in common R&amp;D activities with Kioxia and is contractually committed to a minimum funding level. R&amp;D commitments are immaterial to the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Liabilities </w:t>
      </w:r>
    </w:p>
    <w:p>
      <w:pPr>
        <w:pStyle w:val="TextBody"/>
        <w:bidi w:val="0"/>
        <w:spacing w:before="120" w:after="0"/>
        <w:jc w:val="left"/>
        <w:rPr>
          <w:rFonts w:ascii="Times New Roman" w:hAnsi="Times New Roman"/>
          <w:sz w:val="20"/>
        </w:rPr>
      </w:pPr>
      <w:r>
        <w:rPr>
          <w:rFonts w:ascii="Times New Roman" w:hAnsi="Times New Roman"/>
          <w:sz w:val="20"/>
        </w:rPr>
        <w:t xml:space="preserve">Flash Ventures sells to and leases back from a consortium of financial institutions a portion of its tools and has entered into equipment lease agreements of which the Business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Businesss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Businesss portion of the remaining guarantee obligations under the Flash Ventures lease facilities in both Japanese yen and U.S. dollar-equivalent, based upon the Japanese yen to U.S. dollar exchange rate: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3"/>
        <w:gridCol w:w="541"/>
        <w:gridCol w:w="263"/>
        <w:gridCol w:w="733"/>
        <w:gridCol w:w="60"/>
        <w:gridCol w:w="541"/>
        <w:gridCol w:w="245"/>
        <w:gridCol w:w="984"/>
        <w:gridCol w:w="65"/>
      </w:tblGrid>
      <w:tr>
        <w:trPr/>
        <w:tc>
          <w:tcPr>
            <w:tcW w:w="4323"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28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2024 Lease</w:t>
              <w:br/>
              <w:t>Amounts</w:t>
            </w:r>
          </w:p>
        </w:tc>
        <w:tc>
          <w:tcPr>
            <w:tcW w:w="65" w:type="dxa"/>
            <w:tcBorders/>
            <w:vAlign w:val="bottom"/>
          </w:tcPr>
          <w:p>
            <w:pPr>
              <w:pStyle w:val="TableContents"/>
              <w:bidi w:val="0"/>
              <w:spacing w:before="0" w:after="283"/>
              <w:jc w:val="left"/>
              <w:rPr/>
            </w:pPr>
            <w:r>
              <w:rPr/>
              <w:t> </w:t>
            </w:r>
          </w:p>
        </w:tc>
      </w:tr>
      <w:tr>
        <w:trPr/>
        <w:tc>
          <w:tcPr>
            <w:tcW w:w="4323"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996" w:type="dxa"/>
            <w:gridSpan w:val="2"/>
            <w:tcBorders/>
            <w:vAlign w:val="bottom"/>
          </w:tcPr>
          <w:p>
            <w:pPr>
              <w:pStyle w:val="TableContents"/>
              <w:bidi w:val="0"/>
              <w:spacing w:before="0" w:after="283"/>
              <w:jc w:val="center"/>
              <w:rPr>
                <w:i/>
              </w:rPr>
            </w:pPr>
            <w:r>
              <w:rPr>
                <w:i/>
              </w:rPr>
              <w:t>(Japanese</w:t>
              <w:br/>
              <w:t>yen, in</w:t>
              <w:br/>
              <w:t>billions)</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229" w:type="dxa"/>
            <w:gridSpan w:val="2"/>
            <w:tcBorders/>
            <w:vAlign w:val="bottom"/>
          </w:tcPr>
          <w:p>
            <w:pPr>
              <w:pStyle w:val="TableContents"/>
              <w:bidi w:val="0"/>
              <w:spacing w:before="0" w:after="283"/>
              <w:jc w:val="center"/>
              <w:rPr>
                <w:i/>
              </w:rPr>
            </w:pPr>
            <w:r>
              <w:rPr>
                <w:i/>
              </w:rPr>
              <w:t>(U.S. dollar,</w:t>
              <w:br/>
              <w:t>in millions)</w:t>
            </w:r>
          </w:p>
        </w:tc>
        <w:tc>
          <w:tcPr>
            <w:tcW w:w="65" w:type="dxa"/>
            <w:tcBorders/>
            <w:vAlign w:val="bottom"/>
          </w:tcPr>
          <w:p>
            <w:pPr>
              <w:pStyle w:val="TableContents"/>
              <w:bidi w:val="0"/>
              <w:spacing w:before="0" w:after="283"/>
              <w:jc w:val="left"/>
              <w:rPr/>
            </w:pPr>
            <w:r>
              <w:rPr/>
              <w:t> </w:t>
            </w:r>
          </w:p>
        </w:tc>
      </w:tr>
      <w:tr>
        <w:trPr/>
        <w:tc>
          <w:tcPr>
            <w:tcW w:w="4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guarantee obligations</w:t>
            </w:r>
          </w:p>
        </w:tc>
        <w:tc>
          <w:tcPr>
            <w:tcW w:w="541"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208</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1,299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the breakdown of the Businesss remaining guarantee obligations between the principal amortization and the purchase option exercise price at the end of the term of the Flash Ventures lease agreements, in annual installments as of June 28, 2024, in U.S. dollars, based upon the Japanese yen to U.S. dollar exchange rate as of June 28,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22"/>
        <w:gridCol w:w="426"/>
        <w:gridCol w:w="374"/>
        <w:gridCol w:w="1027"/>
        <w:gridCol w:w="60"/>
        <w:gridCol w:w="426"/>
        <w:gridCol w:w="397"/>
        <w:gridCol w:w="1087"/>
        <w:gridCol w:w="60"/>
        <w:gridCol w:w="426"/>
        <w:gridCol w:w="220"/>
        <w:gridCol w:w="882"/>
        <w:gridCol w:w="65"/>
      </w:tblGrid>
      <w:tr>
        <w:trPr/>
        <w:tc>
          <w:tcPr>
            <w:tcW w:w="3122"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Annual Installments</w:t>
            </w:r>
          </w:p>
        </w:tc>
        <w:tc>
          <w:tcPr>
            <w:tcW w:w="426"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 of</w:t>
              <w:br/>
              <w:t>Principal</w:t>
              <w:br/>
              <w:t>Amortization</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Purchase</w:t>
              <w:br/>
              <w:t>Option</w:t>
              <w:br/>
              <w:t>Exercise Price</w:t>
              <w:br/>
              <w:t>at Final Lease</w:t>
              <w:br/>
              <w:t>Terms</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Guarantee</w:t>
              <w:br/>
              <w:t>Amount</w:t>
            </w:r>
          </w:p>
        </w:tc>
        <w:tc>
          <w:tcPr>
            <w:tcW w:w="65"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4959" w:type="dxa"/>
            <w:gridSpan w:val="10"/>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2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359</w:t>
            </w:r>
          </w:p>
        </w:tc>
        <w:tc>
          <w:tcPr>
            <w:tcW w:w="65"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359</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470</w:t>
            </w:r>
          </w:p>
        </w:tc>
        <w:tc>
          <w:tcPr>
            <w:tcW w:w="65"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164</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259</w:t>
            </w:r>
          </w:p>
        </w:tc>
        <w:tc>
          <w:tcPr>
            <w:tcW w:w="65"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150</w:t>
            </w:r>
          </w:p>
        </w:tc>
        <w:tc>
          <w:tcPr>
            <w:tcW w:w="65"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61</w:t>
            </w:r>
          </w:p>
        </w:tc>
        <w:tc>
          <w:tcPr>
            <w:tcW w:w="65"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Total guarantee obligations</w:t>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w:t>
            </w:r>
          </w:p>
        </w:tc>
        <w:tc>
          <w:tcPr>
            <w:tcW w:w="1027" w:type="dxa"/>
            <w:tcBorders/>
            <w:vAlign w:val="bottom"/>
          </w:tcPr>
          <w:p>
            <w:pPr>
              <w:pStyle w:val="TableContents"/>
              <w:bidi w:val="0"/>
              <w:spacing w:before="0" w:after="283"/>
              <w:jc w:val="right"/>
              <w:rPr/>
            </w:pPr>
            <w:r>
              <w:rPr/>
              <w:t>877</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422</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1,299</w:t>
            </w:r>
          </w:p>
        </w:tc>
        <w:tc>
          <w:tcPr>
            <w:tcW w:w="65"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and Kioxia have agreed to mutually contribute to, and indemnify each other and Flash Ventures for, environmental remediation costs or liability resulting from Flash Ventures manufacturing operations in certain circumstances. The Business has not made any indemnification payments, nor recorded any indemnification receivables under any such agreements. As of June 28, 2024, no amounts have been accrued in the Combined Financial Statements with respect to these indemnification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Unis Ventures </w:t>
      </w:r>
    </w:p>
    <w:p>
      <w:pPr>
        <w:pStyle w:val="TextBody"/>
        <w:bidi w:val="0"/>
        <w:spacing w:before="120" w:after="0"/>
        <w:jc w:val="left"/>
        <w:rPr>
          <w:rFonts w:ascii="Times New Roman" w:hAnsi="Times New Roman"/>
          <w:sz w:val="20"/>
        </w:rPr>
      </w:pPr>
      <w:r>
        <w:rPr>
          <w:rFonts w:ascii="Times New Roman" w:hAnsi="Times New Roman"/>
          <w:sz w:val="20"/>
        </w:rPr>
        <w:t xml:space="preserve">WDC also has a joint venture with Unisplendour Corporation Limited and Unissoft (Wuxi) Group Co. Ltd. (Unis), referred to as the Unis Venture, to market and sell the Businesss products in China and to develop data storage systems for the Chinese market in the future. Pursuant to the separation and distribution agreement, it is expected that the Unis Venture will be minority owned by the Business and majority owned by Unis following the separation. The Unis Venture has not historically been managed as a component of the Business and as such the related equity method investment is not reflected within our Combined Financial Statements. For the years ended June 28, 2024, June 30, 2023, and July 1, 2022, the Business recognized approximately 1%, 2% and 1% of its combined revenue on products distributed by the Unis Venture, respectively. The outstanding accounts receivable due from the Unis Venture was 4% and 2% of Accounts receivable, net as of June 28, 2024, and June 30, 2023,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Agreement to Sell a Majority Interest in our Parents Subsidiary </w:t>
      </w:r>
    </w:p>
    <w:p>
      <w:pPr>
        <w:pStyle w:val="TextBody"/>
        <w:bidi w:val="0"/>
        <w:spacing w:before="120" w:after="0"/>
        <w:jc w:val="left"/>
        <w:rPr>
          <w:rFonts w:ascii="Times New Roman" w:hAnsi="Times New Roman"/>
          <w:sz w:val="20"/>
        </w:rPr>
      </w:pPr>
      <w:r>
        <w:rPr>
          <w:rFonts w:ascii="Times New Roman" w:hAnsi="Times New Roman"/>
          <w:sz w:val="20"/>
        </w:rPr>
        <w:t xml:space="preserve">In March 2024, SanDisk China (an indirect wholly owned subsidiary of WDC) entered into an Equity Purchase Agreement to sell 80% of its equity interest in SanDisk Semiconductor (Shanghai) Co. Ltd. (SDSS) (an indirect wholly-owned subsidiary of WDC which holds one of the Businesss manufacturing facilities) to JCET Management Co., Ltd. (JCET, a wholly-owned subsidiary of JCET Group Co., Ltd. a Chinese publicly listed company), thereby forming a joint venture between SanDisk China and JCET. Closing of the transaction is subject to the satisfaction or waiver of certain conditions, after which, JCET will own 80% of the equity interest in SDSS, with SanDisk China owning the remaining 20%. Following the Closing, our Parent expects to enter into various ancillary agreements, including (i) a shareholders agreement governing the joint venture relationships from and after the Closing; (ii) a supply agreement with the joint venture to supply the Business with certain flash-based products currently produced by SDSS, which may include flash memory cards, embedded flash products and flash components; and (iii) an intellectual property license agreement granting SDSS certain intellectual property rights on a royalty-free basis for use in manufacturing products on the Businesss behalf for the term of and pursuant to the Supply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Notes Due to (from) Parent </w:t>
      </w:r>
    </w:p>
    <w:p>
      <w:pPr>
        <w:pStyle w:val="TextBody"/>
        <w:bidi w:val="0"/>
        <w:spacing w:before="120" w:after="0"/>
        <w:jc w:val="left"/>
        <w:rPr>
          <w:rFonts w:ascii="Times New Roman" w:hAnsi="Times New Roman"/>
          <w:sz w:val="20"/>
        </w:rPr>
      </w:pPr>
      <w:r>
        <w:rPr>
          <w:rFonts w:ascii="Times New Roman" w:hAnsi="Times New Roman"/>
          <w:sz w:val="20"/>
        </w:rPr>
        <w:t xml:space="preserve">The Business receives financing from certain of the Parents subsidiaries in the form of borrowings under revolving credit agreements and promissory notes to fund activities primarily related to Flash Ventures. Additionally, cash generated by the Business may be lent via promissory notes to certain of the Parents subsidiaries for use in general corporate purposes. Outstanding balances due under these financing arrangements are due on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presents a summary of the outstanding borrowings between the Business and subsidiaries of the Parent for the periods presented, inclusive of any associated interest receivable or interest payable: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08"/>
        <w:gridCol w:w="137"/>
        <w:gridCol w:w="2472"/>
        <w:gridCol w:w="137"/>
        <w:gridCol w:w="205"/>
        <w:gridCol w:w="670"/>
        <w:gridCol w:w="155"/>
        <w:gridCol w:w="137"/>
        <w:gridCol w:w="247"/>
        <w:gridCol w:w="644"/>
        <w:gridCol w:w="160"/>
      </w:tblGrid>
      <w:tr>
        <w:trPr/>
        <w:tc>
          <w:tcPr>
            <w:tcW w:w="3608"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Notes due to (from) Parent</w:t>
            </w:r>
          </w:p>
        </w:tc>
        <w:tc>
          <w:tcPr>
            <w:tcW w:w="137" w:type="dxa"/>
            <w:tcBorders/>
            <w:vAlign w:val="bottom"/>
          </w:tcPr>
          <w:p>
            <w:pPr>
              <w:pStyle w:val="TableContents"/>
              <w:bidi w:val="0"/>
              <w:spacing w:before="0" w:after="283"/>
              <w:jc w:val="left"/>
              <w:rPr/>
            </w:pPr>
            <w:r>
              <w:rPr/>
              <w:t> </w:t>
            </w:r>
          </w:p>
        </w:tc>
        <w:tc>
          <w:tcPr>
            <w:tcW w:w="24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Interest Rate</w:t>
            </w:r>
          </w:p>
        </w:tc>
        <w:tc>
          <w:tcPr>
            <w:tcW w:w="13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Notes due from Parent</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right"/>
              <w:rPr/>
            </w:pPr>
            <w:r>
              <w:rPr/>
              <w:t> </w:t>
            </w:r>
          </w:p>
        </w:tc>
        <w:tc>
          <w:tcPr>
            <w:tcW w:w="1853" w:type="dxa"/>
            <w:gridSpan w:val="5"/>
            <w:tcBorders/>
            <w:shd w:fill="CCEEFF" w:val="clear"/>
            <w:vAlign w:val="bottom"/>
          </w:tcPr>
          <w:p>
            <w:pPr>
              <w:pStyle w:val="TableContents"/>
              <w:bidi w:val="0"/>
              <w:spacing w:before="0" w:after="283"/>
              <w:jc w:val="right"/>
              <w:rPr>
                <w:b/>
                <w:i/>
              </w:rPr>
            </w:pPr>
            <w:r>
              <w:rPr>
                <w:b/>
                <w:i/>
              </w:rPr>
              <w:t>(in millions)</w:t>
            </w:r>
          </w:p>
        </w:tc>
        <w:tc>
          <w:tcPr>
            <w:tcW w:w="160"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due from Parent $101M - Oct. 3, 2019</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pPr>
            <w:r>
              <w:rPr/>
              <w:t>AFR Rate (USD) or TIBOR + .35% (YEN)</w:t>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due from Parent $40M - Dec. 19, 2018</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pPr>
            <w:r>
              <w:rPr/>
              <w:t>.15% through Dec. 2021, .33% through Dec. 2022 and 4.55% through Maturity Date</w:t>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(40</w:t>
            </w:r>
          </w:p>
        </w:tc>
        <w:tc>
          <w:tcPr>
            <w:tcW w:w="160"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Notes due from Parent $10M - Mar. 29, 2019</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pPr>
            <w:r>
              <w:rPr/>
              <w:t>1.5% through Mar 2022, .97% through Mar. 2023, and 4.5% through Maturity Date</w:t>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(10</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due from Parent $8M - Jul. 25, 2019</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pPr>
            <w:r>
              <w:rPr/>
              <w:t>.18% through Jul 2021, .12% through July 2022, and 2.37% through Maturity Date</w:t>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(8</w:t>
            </w:r>
          </w:p>
        </w:tc>
        <w:tc>
          <w:tcPr>
            <w:tcW w:w="160"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due from Parent $1B - Dec. 20, 2019</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pPr>
            <w:r>
              <w:rPr/>
              <w:t>AFR Rate (USD) or TIBOR + .35% (YEN)</w:t>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(4</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Agreement due from Parent $100M October 27, 2021</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pPr>
            <w:r>
              <w:rPr/>
              <w:t>LIBOR Rate + 150 basis points</w:t>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Total Notes due from Parent</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(63</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Notes due to Parent</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64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Notes due to Parent $500M - Nov. 25, 2014</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pPr>
            <w:r>
              <w:rPr/>
              <w:t>1-year swap + 2%</w:t>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475</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467</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Due to Parent $42B Yen - April 29, 2014</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pPr>
            <w:r>
              <w:rPr/>
              <w:t>TIBOR + .35%</w:t>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262</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291</w:t>
            </w:r>
          </w:p>
        </w:tc>
        <w:tc>
          <w:tcPr>
            <w:tcW w:w="160"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due to Parent $100M - Aug. 20, 2021</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pPr>
            <w:r>
              <w:rPr/>
              <w:t>LIBOR Rate + 150 basis points</w:t>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77</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Agreement due to Parent $1B - Dec. 20, 2019</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pPr>
            <w:r>
              <w:rPr/>
              <w:t>AFR Rate (USD) or TIBOR + .35% (YEN)</w:t>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29</w:t>
            </w:r>
          </w:p>
        </w:tc>
        <w:tc>
          <w:tcPr>
            <w:tcW w:w="160"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due to Parent - $1B - Dec. 20, 2019</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pPr>
            <w:r>
              <w:rPr/>
              <w:t>AFR Rate (USD) or TIBOR + .35% (YEN)</w:t>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24</w:t>
            </w:r>
          </w:p>
        </w:tc>
        <w:tc>
          <w:tcPr>
            <w:tcW w:w="160"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Due to Parent $60M - Feb. 22 2023</w:t>
            </w:r>
          </w:p>
        </w:tc>
        <w:tc>
          <w:tcPr>
            <w:tcW w:w="137" w:type="dxa"/>
            <w:tcBorders/>
            <w:shd w:fill="CCEEFF" w:val="clear"/>
            <w:vAlign w:val="bottom"/>
          </w:tcPr>
          <w:p>
            <w:pPr>
              <w:pStyle w:val="TableContents"/>
              <w:bidi w:val="0"/>
              <w:spacing w:before="0" w:after="283"/>
              <w:jc w:val="left"/>
              <w:rPr/>
            </w:pPr>
            <w:r>
              <w:rPr/>
              <w:t> </w:t>
            </w:r>
          </w:p>
        </w:tc>
        <w:tc>
          <w:tcPr>
            <w:tcW w:w="2472" w:type="dxa"/>
            <w:tcBorders/>
            <w:shd w:fill="CCEEFF" w:val="clear"/>
            <w:vAlign w:val="bottom"/>
          </w:tcPr>
          <w:p>
            <w:pPr>
              <w:pStyle w:val="TableContents"/>
              <w:bidi w:val="0"/>
              <w:spacing w:before="0" w:after="283"/>
              <w:jc w:val="left"/>
              <w:rPr/>
            </w:pPr>
            <w:r>
              <w:rPr/>
              <w:t>Safe Notice Rate - 6.698%</w:t>
            </w:r>
          </w:p>
        </w:tc>
        <w:tc>
          <w:tcPr>
            <w:tcW w:w="137"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31</w:t>
            </w:r>
          </w:p>
        </w:tc>
        <w:tc>
          <w:tcPr>
            <w:tcW w:w="160" w:type="dxa"/>
            <w:tcBorders/>
            <w:shd w:fill="CCEEFF" w:val="clear"/>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Total Notes due to Parent</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814</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919</w:t>
            </w:r>
          </w:p>
        </w:tc>
        <w:tc>
          <w:tcPr>
            <w:tcW w:w="160"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pPr>
            <w:r>
              <w:rPr/>
              <w:t>Total Notes due to Parent, net</w:t>
            </w:r>
          </w:p>
        </w:tc>
        <w:tc>
          <w:tcPr>
            <w:tcW w:w="137"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pPr>
            <w:r>
              <w:rPr/>
              <w:t>$712</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283"/>
              <w:jc w:val="center"/>
              <w:rPr/>
            </w:pPr>
            <w:r>
              <w:rPr/>
              <w:t>$856</w:t>
            </w:r>
          </w:p>
        </w:tc>
        <w:tc>
          <w:tcPr>
            <w:tcW w:w="160"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47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presents interest expense and interest income on notes due to (from) Parent, which have been recorded within interest expense and interest income in the Combined Statements of Operations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82"/>
        <w:gridCol w:w="481"/>
        <w:gridCol w:w="417"/>
        <w:gridCol w:w="1001"/>
        <w:gridCol w:w="155"/>
        <w:gridCol w:w="481"/>
        <w:gridCol w:w="417"/>
        <w:gridCol w:w="1001"/>
        <w:gridCol w:w="155"/>
        <w:gridCol w:w="480"/>
        <w:gridCol w:w="364"/>
        <w:gridCol w:w="878"/>
        <w:gridCol w:w="160"/>
      </w:tblGrid>
      <w:tr>
        <w:trPr/>
        <w:tc>
          <w:tcPr>
            <w:tcW w:w="2582"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82"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534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160" w:type="dxa"/>
            <w:tcBorders/>
            <w:vAlign w:val="bottom"/>
          </w:tcPr>
          <w:p>
            <w:pPr>
              <w:pStyle w:val="TableContents"/>
              <w:bidi w:val="0"/>
              <w:spacing w:before="0" w:after="283"/>
              <w:jc w:val="left"/>
              <w:rPr/>
            </w:pPr>
            <w:r>
              <w:rPr/>
              <w:t> </w:t>
            </w:r>
          </w:p>
        </w:tc>
      </w:tr>
      <w:tr>
        <w:trPr/>
        <w:tc>
          <w:tcPr>
            <w:tcW w:w="2582"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2024</w:t>
            </w:r>
          </w:p>
        </w:tc>
        <w:tc>
          <w:tcPr>
            <w:tcW w:w="15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2023</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 2022</w:t>
            </w:r>
          </w:p>
        </w:tc>
        <w:tc>
          <w:tcPr>
            <w:tcW w:w="160" w:type="dxa"/>
            <w:tcBorders/>
            <w:vAlign w:val="bottom"/>
          </w:tcPr>
          <w:p>
            <w:pPr>
              <w:pStyle w:val="TableContents"/>
              <w:bidi w:val="0"/>
              <w:spacing w:before="0" w:after="283"/>
              <w:jc w:val="left"/>
              <w:rPr/>
            </w:pPr>
            <w:r>
              <w:rPr/>
              <w:t> </w:t>
            </w:r>
          </w:p>
        </w:tc>
      </w:tr>
      <w:tr>
        <w:trPr/>
        <w:tc>
          <w:tcPr>
            <w:tcW w:w="2582"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5349" w:type="dxa"/>
            <w:gridSpan w:val="10"/>
            <w:tcBorders/>
            <w:vAlign w:val="bottom"/>
          </w:tcPr>
          <w:p>
            <w:pPr>
              <w:pStyle w:val="TableContents"/>
              <w:bidi w:val="0"/>
              <w:spacing w:before="0" w:after="283"/>
              <w:jc w:val="center"/>
              <w:rPr>
                <w:i/>
              </w:rPr>
            </w:pPr>
            <w:r>
              <w:rPr>
                <w:i/>
              </w:rPr>
              <w:t>(in millions)</w:t>
            </w:r>
          </w:p>
        </w:tc>
        <w:tc>
          <w:tcPr>
            <w:tcW w:w="160" w:type="dxa"/>
            <w:tcBorders/>
            <w:vAlign w:val="bottom"/>
          </w:tcPr>
          <w:p>
            <w:pPr>
              <w:pStyle w:val="TableContents"/>
              <w:bidi w:val="0"/>
              <w:spacing w:before="0" w:after="283"/>
              <w:jc w:val="left"/>
              <w:rPr/>
            </w:pPr>
            <w:r>
              <w:rPr/>
              <w:t> </w:t>
            </w:r>
          </w:p>
        </w:tc>
      </w:tr>
      <w:tr>
        <w:trPr/>
        <w:tc>
          <w:tcPr>
            <w:tcW w:w="25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on notes due from Parent</w:t>
            </w:r>
          </w:p>
        </w:tc>
        <w:tc>
          <w:tcPr>
            <w:tcW w:w="481"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258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on notes due to Parent</w:t>
            </w:r>
          </w:p>
        </w:tc>
        <w:tc>
          <w:tcPr>
            <w:tcW w:w="481"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(13</w:t>
            </w:r>
          </w:p>
        </w:tc>
        <w:tc>
          <w:tcPr>
            <w:tcW w:w="1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Allocation of Corporate expenses </w:t>
      </w:r>
    </w:p>
    <w:p>
      <w:pPr>
        <w:pStyle w:val="TextBody"/>
        <w:bidi w:val="0"/>
        <w:spacing w:before="120" w:after="0"/>
        <w:jc w:val="left"/>
        <w:rPr>
          <w:rFonts w:ascii="Times New Roman" w:hAnsi="Times New Roman"/>
          <w:sz w:val="20"/>
        </w:rPr>
      </w:pPr>
      <w:r>
        <w:rPr>
          <w:rFonts w:ascii="Times New Roman" w:hAnsi="Times New Roman"/>
          <w:sz w:val="20"/>
        </w:rPr>
        <w:t xml:space="preserve">The Parent has provided various corporate services to the Business in the ordinary course of business, including executive management, finance, tax, legal, information technology, employee benefits administration, treasury, risk management, procurement and other shared services. These corporate expenses have been allocated to the Business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impact of expense allocations from WDC within the Combined Statements of Operations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90"/>
        <w:gridCol w:w="373"/>
        <w:gridCol w:w="283"/>
        <w:gridCol w:w="1132"/>
        <w:gridCol w:w="155"/>
        <w:gridCol w:w="373"/>
        <w:gridCol w:w="283"/>
        <w:gridCol w:w="1132"/>
        <w:gridCol w:w="60"/>
        <w:gridCol w:w="373"/>
        <w:gridCol w:w="251"/>
        <w:gridCol w:w="1005"/>
        <w:gridCol w:w="162"/>
      </w:tblGrid>
      <w:tr>
        <w:trPr/>
        <w:tc>
          <w:tcPr>
            <w:tcW w:w="299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50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162"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2024</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2023</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 2022</w:t>
            </w:r>
          </w:p>
        </w:tc>
        <w:tc>
          <w:tcPr>
            <w:tcW w:w="162"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5047" w:type="dxa"/>
            <w:gridSpan w:val="10"/>
            <w:tcBorders/>
            <w:vAlign w:val="bottom"/>
          </w:tcPr>
          <w:p>
            <w:pPr>
              <w:pStyle w:val="TableContents"/>
              <w:bidi w:val="0"/>
              <w:spacing w:before="0" w:after="283"/>
              <w:jc w:val="center"/>
              <w:rPr>
                <w:i/>
              </w:rPr>
            </w:pPr>
            <w:r>
              <w:rPr>
                <w:i/>
              </w:rPr>
              <w:t>(in millions)</w:t>
            </w:r>
          </w:p>
        </w:tc>
        <w:tc>
          <w:tcPr>
            <w:tcW w:w="162" w:type="dxa"/>
            <w:tcBorders/>
            <w:vAlign w:val="bottom"/>
          </w:tcPr>
          <w:p>
            <w:pPr>
              <w:pStyle w:val="TableContents"/>
              <w:bidi w:val="0"/>
              <w:spacing w:before="0" w:after="283"/>
              <w:jc w:val="left"/>
              <w:rPr/>
            </w:pPr>
            <w:r>
              <w:rPr/>
              <w:t> </w:t>
            </w:r>
          </w:p>
        </w:tc>
      </w:tr>
      <w:tr>
        <w:trPr/>
        <w:tc>
          <w:tcPr>
            <w:tcW w:w="2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723</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884</w:t>
            </w:r>
          </w:p>
        </w:tc>
        <w:tc>
          <w:tcPr>
            <w:tcW w:w="162" w:type="dxa"/>
            <w:tcBorders/>
            <w:shd w:fill="CCEEFF" w:val="clear"/>
            <w:vAlign w:val="bottom"/>
          </w:tcPr>
          <w:p>
            <w:pPr>
              <w:pStyle w:val="TableContents"/>
              <w:bidi w:val="0"/>
              <w:spacing w:before="0" w:after="283"/>
              <w:jc w:val="left"/>
              <w:rPr/>
            </w:pPr>
            <w:r>
              <w:rPr/>
              <w:t> </w:t>
            </w:r>
          </w:p>
        </w:tc>
      </w:tr>
      <w:tr>
        <w:trPr/>
        <w:tc>
          <w:tcPr>
            <w:tcW w:w="29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418</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452</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470</w:t>
            </w:r>
          </w:p>
        </w:tc>
        <w:tc>
          <w:tcPr>
            <w:tcW w:w="162" w:type="dxa"/>
            <w:tcBorders/>
            <w:vAlign w:val="bottom"/>
          </w:tcPr>
          <w:p>
            <w:pPr>
              <w:pStyle w:val="TableContents"/>
              <w:bidi w:val="0"/>
              <w:spacing w:before="0" w:after="283"/>
              <w:jc w:val="left"/>
              <w:rPr/>
            </w:pPr>
            <w:r>
              <w:rPr/>
              <w:t> </w:t>
            </w:r>
          </w:p>
        </w:tc>
      </w:tr>
      <w:tr>
        <w:trPr/>
        <w:tc>
          <w:tcPr>
            <w:tcW w:w="2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asset impairment and other</w:t>
            </w:r>
          </w:p>
        </w:tc>
        <w:tc>
          <w:tcPr>
            <w:tcW w:w="37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w:t>
            </w:r>
          </w:p>
        </w:tc>
        <w:tc>
          <w:tcPr>
            <w:tcW w:w="162" w:type="dxa"/>
            <w:tcBorders/>
            <w:shd w:fill="CCEEFF" w:val="clear"/>
            <w:vAlign w:val="bottom"/>
          </w:tcPr>
          <w:p>
            <w:pPr>
              <w:pStyle w:val="TableContents"/>
              <w:bidi w:val="0"/>
              <w:spacing w:before="0" w:after="283"/>
              <w:jc w:val="left"/>
              <w:rPr/>
            </w:pPr>
            <w:r>
              <w:rPr/>
              <w:t>) </w:t>
            </w:r>
          </w:p>
        </w:tc>
      </w:tr>
      <w:tr>
        <w:trPr/>
        <w:tc>
          <w:tcPr>
            <w:tcW w:w="2990" w:type="dxa"/>
            <w:tcBorders/>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allocation of Corporate expenses</w:t>
            </w:r>
          </w:p>
        </w:tc>
        <w:tc>
          <w:tcPr>
            <w:tcW w:w="37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1,165</w:t>
            </w:r>
          </w:p>
        </w:tc>
        <w:tc>
          <w:tcPr>
            <w:tcW w:w="15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1,263</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1,352</w:t>
            </w:r>
          </w:p>
        </w:tc>
        <w:tc>
          <w:tcPr>
            <w:tcW w:w="162"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historical financial statements do not purport to reflect what results of operations, financial position, equity or cash flows would have been if we had operated as a stand-alone Business during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Cash Management </w:t>
      </w:r>
    </w:p>
    <w:p>
      <w:pPr>
        <w:pStyle w:val="TextBody"/>
        <w:bidi w:val="0"/>
        <w:spacing w:before="120" w:after="0"/>
        <w:jc w:val="left"/>
        <w:rPr>
          <w:rFonts w:ascii="Times New Roman" w:hAnsi="Times New Roman"/>
          <w:sz w:val="20"/>
        </w:rPr>
      </w:pPr>
      <w:r>
        <w:rPr>
          <w:rFonts w:ascii="Times New Roman" w:hAnsi="Times New Roman"/>
          <w:sz w:val="20"/>
        </w:rPr>
        <w:t xml:space="preserve">WDC provides funding for our operating and investing activities including pooled cash managed by WDC treasury to fund operating expenses and capital expenditures. WDC also directly collects certain of our receivables. These activities are reflected as a component of Parent company net investment, and this arrangement is not reflective of the manner in which we would operate on a standalone business separate from WDC during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Parent Company Net Investment </w:t>
      </w:r>
    </w:p>
    <w:p>
      <w:pPr>
        <w:pStyle w:val="TextBody"/>
        <w:bidi w:val="0"/>
        <w:spacing w:before="120" w:after="0"/>
        <w:jc w:val="left"/>
        <w:rPr>
          <w:rFonts w:ascii="Times New Roman" w:hAnsi="Times New Roman"/>
          <w:sz w:val="20"/>
        </w:rPr>
      </w:pPr>
      <w:r>
        <w:rPr>
          <w:rFonts w:ascii="Times New Roman" w:hAnsi="Times New Roman"/>
          <w:sz w:val="20"/>
        </w:rPr>
        <w:t xml:space="preserve">Parent company net investment on the Combined Balance Sheets represents WDCs historical investment in the Business, the net effect of transactions with and allocations from WDC, the Businesss retained earnings and cumulative effect adjustments from the adoption of new accounting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Net Transfers from (to) Parent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Net transfers from (to) Parent on the Combined Statements of Changes in Parent Company Net Investment to the corresponding amounts on the Combined Statements of Cash Flows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10"/>
        <w:gridCol w:w="434"/>
        <w:gridCol w:w="389"/>
        <w:gridCol w:w="1036"/>
        <w:gridCol w:w="155"/>
        <w:gridCol w:w="434"/>
        <w:gridCol w:w="389"/>
        <w:gridCol w:w="1036"/>
        <w:gridCol w:w="155"/>
        <w:gridCol w:w="434"/>
        <w:gridCol w:w="290"/>
        <w:gridCol w:w="951"/>
        <w:gridCol w:w="159"/>
      </w:tblGrid>
      <w:tr>
        <w:trPr/>
        <w:tc>
          <w:tcPr>
            <w:tcW w:w="2710"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0"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526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159" w:type="dxa"/>
            <w:tcBorders/>
            <w:vAlign w:val="bottom"/>
          </w:tcPr>
          <w:p>
            <w:pPr>
              <w:pStyle w:val="TableContents"/>
              <w:bidi w:val="0"/>
              <w:spacing w:before="0" w:after="283"/>
              <w:jc w:val="left"/>
              <w:rPr/>
            </w:pPr>
            <w:r>
              <w:rPr/>
              <w:t> </w:t>
            </w:r>
          </w:p>
        </w:tc>
      </w:tr>
      <w:tr>
        <w:trPr/>
        <w:tc>
          <w:tcPr>
            <w:tcW w:w="2710"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2024</w:t>
            </w:r>
          </w:p>
        </w:tc>
        <w:tc>
          <w:tcPr>
            <w:tcW w:w="155"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2023</w:t>
            </w:r>
          </w:p>
        </w:tc>
        <w:tc>
          <w:tcPr>
            <w:tcW w:w="155"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 2022</w:t>
            </w:r>
          </w:p>
        </w:tc>
        <w:tc>
          <w:tcPr>
            <w:tcW w:w="159" w:type="dxa"/>
            <w:tcBorders/>
            <w:vAlign w:val="bottom"/>
          </w:tcPr>
          <w:p>
            <w:pPr>
              <w:pStyle w:val="TableContents"/>
              <w:bidi w:val="0"/>
              <w:spacing w:before="0" w:after="283"/>
              <w:jc w:val="left"/>
              <w:rPr/>
            </w:pPr>
            <w:r>
              <w:rPr/>
              <w:t> </w:t>
            </w:r>
          </w:p>
        </w:tc>
      </w:tr>
      <w:tr>
        <w:trPr/>
        <w:tc>
          <w:tcPr>
            <w:tcW w:w="2710"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5269" w:type="dxa"/>
            <w:gridSpan w:val="10"/>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2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per Combined Statement of Changes in Parent Company Net Investment</w:t>
            </w:r>
          </w:p>
        </w:tc>
        <w:tc>
          <w:tcPr>
            <w:tcW w:w="43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376</w:t>
            </w:r>
          </w:p>
        </w:tc>
        <w:tc>
          <w:tcPr>
            <w:tcW w:w="15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(922</w:t>
            </w:r>
          </w:p>
        </w:tc>
        <w:tc>
          <w:tcPr>
            <w:tcW w:w="159" w:type="dxa"/>
            <w:tcBorders/>
            <w:shd w:fill="CCEEFF" w:val="clear"/>
            <w:vAlign w:val="bottom"/>
          </w:tcPr>
          <w:p>
            <w:pPr>
              <w:pStyle w:val="TableContents"/>
              <w:bidi w:val="0"/>
              <w:spacing w:before="0" w:after="283"/>
              <w:jc w:val="left"/>
              <w:rPr/>
            </w:pPr>
            <w:r>
              <w:rPr/>
              <w:t>) </w:t>
            </w:r>
          </w:p>
        </w:tc>
      </w:tr>
      <w:tr>
        <w:trPr/>
        <w:tc>
          <w:tcPr>
            <w:tcW w:w="271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 transferred from Parent</w:t>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2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 net transferred to Parent</w:t>
            </w:r>
          </w:p>
        </w:tc>
        <w:tc>
          <w:tcPr>
            <w:tcW w:w="43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2710" w:type="dxa"/>
            <w:tcBorders/>
          </w:tcPr>
          <w:p>
            <w:pPr>
              <w:pStyle w:val="TableContents"/>
              <w:bidi w:val="0"/>
              <w:spacing w:before="0" w:after="0"/>
              <w:jc w:val="left"/>
              <w:rPr>
                <w:rFonts w:ascii="Times New Roman" w:hAnsi="Times New Roman"/>
                <w:sz w:val="20"/>
              </w:rPr>
            </w:pPr>
            <w:r>
              <w:rPr>
                <w:rFonts w:ascii="Times New Roman" w:hAnsi="Times New Roman"/>
                <w:sz w:val="20"/>
              </w:rPr>
              <w:t>Notes due from Parent transferred to Parent</w:t>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316</w:t>
            </w:r>
          </w:p>
        </w:tc>
        <w:tc>
          <w:tcPr>
            <w:tcW w:w="155"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271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per Combined Statements of Cash Flows</w:t>
            </w:r>
          </w:p>
        </w:tc>
        <w:tc>
          <w:tcPr>
            <w:tcW w:w="43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394</w:t>
            </w:r>
          </w:p>
        </w:tc>
        <w:tc>
          <w:tcPr>
            <w:tcW w:w="15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676</w:t>
            </w:r>
          </w:p>
        </w:tc>
        <w:tc>
          <w:tcPr>
            <w:tcW w:w="155"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(933</w:t>
            </w:r>
          </w:p>
        </w:tc>
        <w:tc>
          <w:tcPr>
            <w:tcW w:w="159" w:type="dxa"/>
            <w:tcBorders/>
            <w:shd w:fill="CCEEFF" w:val="clear"/>
            <w:vAlign w:val="bottom"/>
          </w:tcPr>
          <w:p>
            <w:pPr>
              <w:pStyle w:val="TableContents"/>
              <w:bidi w:val="0"/>
              <w:spacing w:before="0" w:after="283"/>
              <w:jc w:val="left"/>
              <w:rPr/>
            </w:pPr>
            <w:r>
              <w:rPr/>
              <w:t>) </w:t>
            </w:r>
          </w:p>
        </w:tc>
      </w:tr>
      <w:tr>
        <w:trPr/>
        <w:tc>
          <w:tcPr>
            <w:tcW w:w="2710"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10. Leases and Other Commitments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right-of-use-lease assets and lease liabilities included in the Businesss Combined Balance Sheets: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23"/>
        <w:gridCol w:w="629"/>
        <w:gridCol w:w="390"/>
        <w:gridCol w:w="1035"/>
        <w:gridCol w:w="60"/>
        <w:gridCol w:w="629"/>
        <w:gridCol w:w="390"/>
        <w:gridCol w:w="1035"/>
        <w:gridCol w:w="64"/>
      </w:tblGrid>
      <w:tr>
        <w:trPr/>
        <w:tc>
          <w:tcPr>
            <w:tcW w:w="3523"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23"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2024</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2023</w:t>
            </w:r>
          </w:p>
        </w:tc>
        <w:tc>
          <w:tcPr>
            <w:tcW w:w="64" w:type="dxa"/>
            <w:tcBorders/>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3539" w:type="dxa"/>
            <w:gridSpan w:val="6"/>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3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(included in other non-current assets)</w:t>
            </w:r>
          </w:p>
        </w:tc>
        <w:tc>
          <w:tcPr>
            <w:tcW w:w="629"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179</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93</w:t>
            </w:r>
          </w:p>
        </w:tc>
        <w:tc>
          <w:tcPr>
            <w:tcW w:w="64" w:type="dxa"/>
            <w:tcBorders/>
            <w:shd w:fill="CCEEFF" w:val="clear"/>
            <w:vAlign w:val="bottom"/>
          </w:tcPr>
          <w:p>
            <w:pPr>
              <w:pStyle w:val="TableContents"/>
              <w:bidi w:val="0"/>
              <w:spacing w:before="0" w:after="283"/>
              <w:jc w:val="left"/>
              <w:rPr/>
            </w:pPr>
            <w:r>
              <w:rPr/>
              <w:t> </w:t>
            </w:r>
          </w:p>
        </w:tc>
      </w:tr>
      <w:tr>
        <w:trPr/>
        <w:tc>
          <w:tcPr>
            <w:tcW w:w="352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operating lease liabilities (included in accrued expenses)</w:t>
            </w:r>
          </w:p>
        </w:tc>
        <w:tc>
          <w:tcPr>
            <w:tcW w:w="629"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13</w:t>
            </w:r>
          </w:p>
        </w:tc>
        <w:tc>
          <w:tcPr>
            <w:tcW w:w="64" w:type="dxa"/>
            <w:tcBorders/>
            <w:shd w:fill="CCEEFF" w:val="clear"/>
            <w:vAlign w:val="bottom"/>
          </w:tcPr>
          <w:p>
            <w:pPr>
              <w:pStyle w:val="TableContents"/>
              <w:bidi w:val="0"/>
              <w:spacing w:before="0" w:after="283"/>
              <w:jc w:val="left"/>
              <w:rPr/>
            </w:pPr>
            <w:r>
              <w:rPr/>
              <w:t> </w:t>
            </w:r>
          </w:p>
        </w:tc>
      </w:tr>
      <w:tr>
        <w:trPr/>
        <w:tc>
          <w:tcPr>
            <w:tcW w:w="3523"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 (included in other liabilities)</w:t>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629"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183</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390"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supplemental disclosures of operating cost and cash flow information related to operating leases: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80"/>
        <w:gridCol w:w="405"/>
        <w:gridCol w:w="380"/>
        <w:gridCol w:w="1037"/>
        <w:gridCol w:w="60"/>
        <w:gridCol w:w="405"/>
        <w:gridCol w:w="495"/>
        <w:gridCol w:w="924"/>
        <w:gridCol w:w="60"/>
        <w:gridCol w:w="405"/>
        <w:gridCol w:w="332"/>
        <w:gridCol w:w="907"/>
        <w:gridCol w:w="65"/>
      </w:tblGrid>
      <w:tr>
        <w:trPr/>
        <w:tc>
          <w:tcPr>
            <w:tcW w:w="228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8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50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w:t>
            </w:r>
          </w:p>
        </w:tc>
        <w:tc>
          <w:tcPr>
            <w:tcW w:w="65" w:type="dxa"/>
            <w:tcBorders/>
            <w:vAlign w:val="bottom"/>
          </w:tcPr>
          <w:p>
            <w:pPr>
              <w:pStyle w:val="TableContents"/>
              <w:bidi w:val="0"/>
              <w:spacing w:before="0" w:after="283"/>
              <w:jc w:val="left"/>
              <w:rPr/>
            </w:pPr>
            <w:r>
              <w:rPr/>
              <w:t> </w:t>
            </w:r>
          </w:p>
        </w:tc>
      </w:tr>
      <w:tr>
        <w:trPr/>
        <w:tc>
          <w:tcPr>
            <w:tcW w:w="228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2024</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2023</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 2022</w:t>
            </w:r>
          </w:p>
        </w:tc>
        <w:tc>
          <w:tcPr>
            <w:tcW w:w="65" w:type="dxa"/>
            <w:tcBorders/>
            <w:vAlign w:val="bottom"/>
          </w:tcPr>
          <w:p>
            <w:pPr>
              <w:pStyle w:val="TableContents"/>
              <w:bidi w:val="0"/>
              <w:spacing w:before="0" w:after="283"/>
              <w:jc w:val="left"/>
              <w:rPr/>
            </w:pPr>
            <w:r>
              <w:rPr/>
              <w:t> </w:t>
            </w:r>
          </w:p>
        </w:tc>
      </w:tr>
      <w:tr>
        <w:trPr/>
        <w:tc>
          <w:tcPr>
            <w:tcW w:w="228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5005" w:type="dxa"/>
            <w:gridSpan w:val="10"/>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2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operating leases</w:t>
            </w:r>
          </w:p>
        </w:tc>
        <w:tc>
          <w:tcPr>
            <w:tcW w:w="40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22</w:t>
            </w:r>
          </w:p>
        </w:tc>
        <w:tc>
          <w:tcPr>
            <w:tcW w:w="65" w:type="dxa"/>
            <w:tcBorders/>
            <w:shd w:fill="CCEEFF" w:val="clear"/>
            <w:vAlign w:val="bottom"/>
          </w:tcPr>
          <w:p>
            <w:pPr>
              <w:pStyle w:val="TableContents"/>
              <w:bidi w:val="0"/>
              <w:spacing w:before="0" w:after="283"/>
              <w:jc w:val="left"/>
              <w:rPr/>
            </w:pPr>
            <w:r>
              <w:rPr/>
              <w:t> </w:t>
            </w:r>
          </w:p>
        </w:tc>
      </w:tr>
      <w:tr>
        <w:trPr/>
        <w:tc>
          <w:tcPr>
            <w:tcW w:w="228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leases</w:t>
            </w:r>
          </w:p>
        </w:tc>
        <w:tc>
          <w:tcPr>
            <w:tcW w:w="40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2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 obtained in exchange for operating lease liabilities</w:t>
            </w:r>
          </w:p>
        </w:tc>
        <w:tc>
          <w:tcPr>
            <w:tcW w:w="405"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167</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107</w:t>
            </w:r>
          </w:p>
        </w:tc>
        <w:tc>
          <w:tcPr>
            <w:tcW w:w="65" w:type="dxa"/>
            <w:tcBorders/>
            <w:shd w:fill="CCEEFF" w:val="clear"/>
            <w:vAlign w:val="bottom"/>
          </w:tcPr>
          <w:p>
            <w:pPr>
              <w:pStyle w:val="TableContents"/>
              <w:bidi w:val="0"/>
              <w:spacing w:before="0" w:after="283"/>
              <w:jc w:val="left"/>
              <w:rPr/>
            </w:pPr>
            <w:r>
              <w:rPr/>
              <w:t> </w:t>
            </w:r>
          </w:p>
        </w:tc>
      </w:tr>
      <w:tr>
        <w:trPr/>
        <w:tc>
          <w:tcPr>
            <w:tcW w:w="2280"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operating lease liabilities and right-of-use assets due to lease remeasurement</w:t>
            </w:r>
          </w:p>
        </w:tc>
        <w:tc>
          <w:tcPr>
            <w:tcW w:w="405"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weighted average remaining lease term and discount rate for the Businesss operating leases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64"/>
        <w:gridCol w:w="426"/>
        <w:gridCol w:w="60"/>
        <w:gridCol w:w="449"/>
        <w:gridCol w:w="275"/>
        <w:gridCol w:w="309"/>
        <w:gridCol w:w="78"/>
        <w:gridCol w:w="433"/>
        <w:gridCol w:w="278"/>
      </w:tblGrid>
      <w:tr>
        <w:trPr/>
        <w:tc>
          <w:tcPr>
            <w:tcW w:w="6264"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26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8" w:type="dxa"/>
            <w:tcBorders/>
            <w:vAlign w:val="bottom"/>
          </w:tcPr>
          <w:p>
            <w:pPr>
              <w:pStyle w:val="TableContents"/>
              <w:bidi w:val="0"/>
              <w:spacing w:before="0" w:after="283"/>
              <w:jc w:val="left"/>
              <w:rPr/>
            </w:pPr>
            <w:r>
              <w:rPr/>
              <w:t> </w:t>
            </w:r>
          </w:p>
        </w:tc>
      </w:tr>
      <w:tr>
        <w:trPr/>
        <w:tc>
          <w:tcPr>
            <w:tcW w:w="6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w:t>
            </w:r>
          </w:p>
        </w:tc>
        <w:tc>
          <w:tcPr>
            <w:tcW w:w="4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13.7</w:t>
            </w:r>
          </w:p>
        </w:tc>
        <w:tc>
          <w:tcPr>
            <w:tcW w:w="27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7.8</w:t>
            </w:r>
          </w:p>
        </w:tc>
        <w:tc>
          <w:tcPr>
            <w:tcW w:w="278" w:type="dxa"/>
            <w:tcBorders/>
            <w:shd w:fill="CCEEFF" w:val="clear"/>
            <w:vAlign w:val="bottom"/>
          </w:tcPr>
          <w:p>
            <w:pPr>
              <w:pStyle w:val="TableContents"/>
              <w:bidi w:val="0"/>
              <w:spacing w:before="0" w:after="283"/>
              <w:jc w:val="left"/>
              <w:rPr/>
            </w:pPr>
            <w:r>
              <w:rPr/>
              <w:t> </w:t>
            </w:r>
          </w:p>
        </w:tc>
      </w:tr>
      <w:tr>
        <w:trPr/>
        <w:tc>
          <w:tcPr>
            <w:tcW w:w="626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4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7.5</w:t>
            </w:r>
          </w:p>
        </w:tc>
        <w:tc>
          <w:tcPr>
            <w:tcW w:w="27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3.0</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28, 2024, minimum lease payments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28"/>
        <w:gridCol w:w="929"/>
        <w:gridCol w:w="444"/>
        <w:gridCol w:w="1175"/>
        <w:gridCol w:w="63"/>
      </w:tblGrid>
      <w:tr>
        <w:trPr/>
        <w:tc>
          <w:tcPr>
            <w:tcW w:w="4328" w:type="dxa"/>
            <w:tcBorders/>
            <w:vAlign w:val="center"/>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28"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 Amounts</w:t>
            </w:r>
          </w:p>
        </w:tc>
        <w:tc>
          <w:tcPr>
            <w:tcW w:w="63" w:type="dxa"/>
            <w:tcBorders/>
            <w:vAlign w:val="bottom"/>
          </w:tcPr>
          <w:p>
            <w:pPr>
              <w:pStyle w:val="TableContents"/>
              <w:bidi w:val="0"/>
              <w:spacing w:before="0" w:after="283"/>
              <w:jc w:val="left"/>
              <w:rPr/>
            </w:pPr>
            <w:r>
              <w:rPr/>
              <w:t> </w:t>
            </w:r>
          </w:p>
        </w:tc>
      </w:tr>
      <w:tr>
        <w:trPr/>
        <w:tc>
          <w:tcPr>
            <w:tcW w:w="4328"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left"/>
              <w:rPr/>
            </w:pPr>
            <w:r>
              <w:rPr/>
              <w:t>  </w:t>
            </w:r>
          </w:p>
        </w:tc>
        <w:tc>
          <w:tcPr>
            <w:tcW w:w="1619" w:type="dxa"/>
            <w:gridSpan w:val="2"/>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4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92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23</w:t>
            </w:r>
          </w:p>
        </w:tc>
        <w:tc>
          <w:tcPr>
            <w:tcW w:w="63" w:type="dxa"/>
            <w:tcBorders/>
            <w:shd w:fill="CCEEFF" w:val="clear"/>
            <w:vAlign w:val="bottom"/>
          </w:tcPr>
          <w:p>
            <w:pPr>
              <w:pStyle w:val="TableContents"/>
              <w:bidi w:val="0"/>
              <w:spacing w:before="0" w:after="283"/>
              <w:jc w:val="left"/>
              <w:rPr/>
            </w:pPr>
            <w:r>
              <w:rPr/>
              <w:t> </w:t>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92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4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92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21</w:t>
            </w:r>
          </w:p>
        </w:tc>
        <w:tc>
          <w:tcPr>
            <w:tcW w:w="63" w:type="dxa"/>
            <w:tcBorders/>
            <w:shd w:fill="CCEEFF" w:val="clear"/>
            <w:vAlign w:val="bottom"/>
          </w:tcPr>
          <w:p>
            <w:pPr>
              <w:pStyle w:val="TableContents"/>
              <w:bidi w:val="0"/>
              <w:spacing w:before="0" w:after="283"/>
              <w:jc w:val="left"/>
              <w:rPr/>
            </w:pPr>
            <w:r>
              <w:rPr/>
              <w:t> </w:t>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92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4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92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19</w:t>
            </w:r>
          </w:p>
        </w:tc>
        <w:tc>
          <w:tcPr>
            <w:tcW w:w="63" w:type="dxa"/>
            <w:tcBorders/>
            <w:shd w:fill="CCEEFF" w:val="clear"/>
            <w:vAlign w:val="bottom"/>
          </w:tcPr>
          <w:p>
            <w:pPr>
              <w:pStyle w:val="TableContents"/>
              <w:bidi w:val="0"/>
              <w:spacing w:before="0" w:after="283"/>
              <w:jc w:val="left"/>
              <w:rPr/>
            </w:pPr>
            <w:r>
              <w:rPr/>
              <w:t> </w:t>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92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c>
          <w:tcPr>
            <w:tcW w:w="4328"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92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303</w:t>
            </w:r>
          </w:p>
        </w:tc>
        <w:tc>
          <w:tcPr>
            <w:tcW w:w="63" w:type="dxa"/>
            <w:tcBorders/>
            <w:shd w:fill="CCEEFF" w:val="clear"/>
            <w:vAlign w:val="bottom"/>
          </w:tcPr>
          <w:p>
            <w:pPr>
              <w:pStyle w:val="TableContents"/>
              <w:bidi w:val="0"/>
              <w:spacing w:before="0" w:after="283"/>
              <w:jc w:val="left"/>
              <w:rPr/>
            </w:pPr>
            <w:r>
              <w:rPr/>
              <w:t> </w:t>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929"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4328"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929"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183</w:t>
            </w:r>
          </w:p>
        </w:tc>
        <w:tc>
          <w:tcPr>
            <w:tcW w:w="63" w:type="dxa"/>
            <w:tcBorders/>
            <w:shd w:fill="CCEEFF" w:val="clear"/>
            <w:vAlign w:val="bottom"/>
          </w:tcPr>
          <w:p>
            <w:pPr>
              <w:pStyle w:val="TableContents"/>
              <w:bidi w:val="0"/>
              <w:spacing w:before="0" w:after="283"/>
              <w:jc w:val="left"/>
              <w:rPr/>
            </w:pPr>
            <w:r>
              <w:rPr/>
              <w:t> </w:t>
            </w:r>
          </w:p>
        </w:tc>
      </w:tr>
      <w:tr>
        <w:trPr/>
        <w:tc>
          <w:tcPr>
            <w:tcW w:w="4328"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Sale-Leaseback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our Parent entered into an agreement for the sale and leaseback of its facility in Milpitas, California and received gross proceeds of $191 million in cash. A substantial majority of these assets are associated with the Business and all are included in our Combined Balance Sheet as of June 30, 2023. As a result, $134 million of consideration from the sale-leaseback transaction has been allocated to us on a relative square footage basis and reflected as a cash inflow from investing activities within the Combined Statements of Cash Flows for fiscal year 2024. In connection with the sale and leaseback, the Business recorded a gain of $60 million upon closing of the transaction in September 2023. For more information, see Note 13, </w:t>
      </w:r>
      <w:r>
        <w:rPr>
          <w:rFonts w:ascii="Times New Roman" w:hAnsi="Times New Roman"/>
          <w:i/>
          <w:sz w:val="20"/>
        </w:rPr>
        <w:t>Employee Termination, Asset Impairment and Other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property is being leased back at an annual rate of $16 million for the first year and increasing by 3% per year thereafter through January 1, 2039. The lease includes three 5-year renewal options and one 4-year renewal option for the ability to extend through December 2057. The full amount of the associated operating lease liability and right of use asset for this facility has been included in the Combined Balance Sheet as of June 28, 2024. This facility is utilized in the Businesss operations and a portion of the total annual lease expense will be allocated to the Business in future periods based on the continued usage of the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Agreements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Business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Business also enters into long-term agreements with suppliers that contain fixed future commitments, which are contingent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certain conditions such as performance, quality and technology of the vendors components. As of June 28, 2024, the Business had the following minimum long-term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99"/>
        <w:gridCol w:w="874"/>
        <w:gridCol w:w="386"/>
        <w:gridCol w:w="1017"/>
        <w:gridCol w:w="63"/>
      </w:tblGrid>
      <w:tr>
        <w:trPr/>
        <w:tc>
          <w:tcPr>
            <w:tcW w:w="4599" w:type="dxa"/>
            <w:tcBorders/>
            <w:vAlign w:val="center"/>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99"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Long-term</w:t>
              <w:br/>
              <w:t>commitments</w:t>
            </w:r>
          </w:p>
        </w:tc>
        <w:tc>
          <w:tcPr>
            <w:tcW w:w="63" w:type="dxa"/>
            <w:tcBorders/>
            <w:vAlign w:val="bottom"/>
          </w:tcPr>
          <w:p>
            <w:pPr>
              <w:pStyle w:val="TableContents"/>
              <w:bidi w:val="0"/>
              <w:spacing w:before="0" w:after="283"/>
              <w:jc w:val="left"/>
              <w:rPr/>
            </w:pPr>
            <w:r>
              <w:rPr/>
              <w:t> </w:t>
            </w:r>
          </w:p>
        </w:tc>
      </w:tr>
      <w:tr>
        <w:trPr/>
        <w:tc>
          <w:tcPr>
            <w:tcW w:w="4599"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1403" w:type="dxa"/>
            <w:gridSpan w:val="2"/>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4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Fiscal year:</w:t>
            </w:r>
          </w:p>
        </w:tc>
        <w:tc>
          <w:tcPr>
            <w:tcW w:w="87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87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4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87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51</w:t>
            </w:r>
          </w:p>
        </w:tc>
        <w:tc>
          <w:tcPr>
            <w:tcW w:w="63" w:type="dxa"/>
            <w:tcBorders/>
            <w:shd w:fill="CCEEFF" w:val="clear"/>
            <w:vAlign w:val="bottom"/>
          </w:tcPr>
          <w:p>
            <w:pPr>
              <w:pStyle w:val="TableContents"/>
              <w:bidi w:val="0"/>
              <w:spacing w:before="0" w:after="283"/>
              <w:jc w:val="left"/>
              <w:rPr/>
            </w:pPr>
            <w:r>
              <w:rPr/>
              <w:t> </w:t>
            </w:r>
          </w:p>
        </w:tc>
      </w:tr>
      <w:tr>
        <w:trPr/>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87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4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87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20</w:t>
            </w:r>
          </w:p>
        </w:tc>
        <w:tc>
          <w:tcPr>
            <w:tcW w:w="63" w:type="dxa"/>
            <w:tcBorders/>
            <w:shd w:fill="CCEEFF" w:val="clear"/>
            <w:vAlign w:val="bottom"/>
          </w:tcPr>
          <w:p>
            <w:pPr>
              <w:pStyle w:val="TableContents"/>
              <w:bidi w:val="0"/>
              <w:spacing w:before="0" w:after="283"/>
              <w:jc w:val="left"/>
              <w:rPr/>
            </w:pPr>
            <w:r>
              <w:rPr/>
              <w:t> </w:t>
            </w:r>
          </w:p>
        </w:tc>
      </w:tr>
      <w:tr>
        <w:trPr/>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87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4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874"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110</w:t>
            </w:r>
          </w:p>
        </w:tc>
        <w:tc>
          <w:tcPr>
            <w:tcW w:w="63" w:type="dxa"/>
            <w:tcBorders/>
            <w:shd w:fill="CCEEFF" w:val="clear"/>
            <w:vAlign w:val="bottom"/>
          </w:tcPr>
          <w:p>
            <w:pPr>
              <w:pStyle w:val="TableContents"/>
              <w:bidi w:val="0"/>
              <w:spacing w:before="0" w:after="283"/>
              <w:jc w:val="left"/>
              <w:rPr/>
            </w:pPr>
            <w:r>
              <w:rPr/>
              <w:t> </w:t>
            </w:r>
          </w:p>
        </w:tc>
      </w:tr>
      <w:tr>
        <w:trPr/>
        <w:tc>
          <w:tcPr>
            <w:tcW w:w="4599"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874"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276</w:t>
            </w:r>
          </w:p>
        </w:tc>
        <w:tc>
          <w:tcPr>
            <w:tcW w:w="63" w:type="dxa"/>
            <w:tcBorders/>
            <w:vAlign w:val="bottom"/>
          </w:tcPr>
          <w:p>
            <w:pPr>
              <w:pStyle w:val="TableContents"/>
              <w:bidi w:val="0"/>
              <w:spacing w:before="0" w:after="283"/>
              <w:jc w:val="left"/>
              <w:rPr/>
            </w:pPr>
            <w:r>
              <w:rPr/>
              <w:t> </w:t>
            </w:r>
          </w:p>
        </w:tc>
      </w:tr>
      <w:tr>
        <w:trPr/>
        <w:tc>
          <w:tcPr>
            <w:tcW w:w="4599"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11. Stock-based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employees participate in our Parents equity-based incentive plans. Under the Western Digital Corporation 2021 Equity Incentive Plan (the 2021 Plan) and the Western Digital Corporation Amended and Restated 2017 Performance Incentive Plan (the 2017 Plan), our employees were awarded stock-based incentive awards in a number of forms, including nonqualified stock options. Upon the effective date of the 2021 Plan, no new awards were granted under the 2017 Plan. The types of awards that may be granted under the 2021 Plan include stock options, stock appreciation rights (SARs), RSUs, PSUs, restricted stock and other forms of awards granted or denominated in the Parents common stock or units of the Parents common stock, as well as cash awards. Awards granted to our employees under the incentive plans generally vest over periods ranging from two to four years. We measure stock-based compensation for all stock-based incentive awards at fair value on the grant date. Stock-based compensation expense is generally recognized on a straight-line basis over the requisite service periods of the awards. Compensation costs associated with our employees participation in the incentive plans have been specifically identified for employees who exclusively support our operations and are allocated to us as part of the cost allocations from our Parent. We include the related expense in operating expense (research and development and selling, general and administrative) and cost of revenue on our Combined Statements of Operations, depending on the nature of the employees role in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total costs charged to the Business related to the Businesss employees participation in our Parents incentive plan during the years ended June 28, 2024, June 30, 2023, and July 1, 2022: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795"/>
        <w:gridCol w:w="342"/>
        <w:gridCol w:w="140"/>
        <w:gridCol w:w="382"/>
        <w:gridCol w:w="60"/>
        <w:gridCol w:w="342"/>
        <w:gridCol w:w="140"/>
        <w:gridCol w:w="382"/>
        <w:gridCol w:w="60"/>
        <w:gridCol w:w="342"/>
        <w:gridCol w:w="140"/>
        <w:gridCol w:w="382"/>
        <w:gridCol w:w="65"/>
      </w:tblGrid>
      <w:tr>
        <w:trPr/>
        <w:tc>
          <w:tcPr>
            <w:tcW w:w="579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9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370" w:type="dxa"/>
            <w:gridSpan w:val="10"/>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57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18</w:t>
            </w:r>
          </w:p>
        </w:tc>
        <w:tc>
          <w:tcPr>
            <w:tcW w:w="65" w:type="dxa"/>
            <w:tcBorders/>
            <w:shd w:fill="CCEEFF" w:val="clear"/>
            <w:vAlign w:val="bottom"/>
          </w:tcPr>
          <w:p>
            <w:pPr>
              <w:pStyle w:val="TableContents"/>
              <w:bidi w:val="0"/>
              <w:spacing w:before="0" w:after="283"/>
              <w:jc w:val="left"/>
              <w:rPr/>
            </w:pPr>
            <w:r>
              <w:rPr/>
              <w:t> </w:t>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5" w:type="dxa"/>
            <w:tcBorders/>
            <w:vAlign w:val="bottom"/>
          </w:tcPr>
          <w:p>
            <w:pPr>
              <w:pStyle w:val="TableContents"/>
              <w:bidi w:val="0"/>
              <w:spacing w:before="0" w:after="283"/>
              <w:jc w:val="left"/>
              <w:rPr/>
            </w:pPr>
            <w:r>
              <w:rPr/>
              <w:t> </w:t>
            </w:r>
          </w:p>
        </w:tc>
      </w:tr>
      <w:tr>
        <w:trPr/>
        <w:tc>
          <w:tcPr>
            <w:tcW w:w="5795"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Selling, general and administrative</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59</w:t>
            </w:r>
          </w:p>
        </w:tc>
        <w:tc>
          <w:tcPr>
            <w:tcW w:w="65"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165</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171</w:t>
            </w:r>
          </w:p>
        </w:tc>
        <w:tc>
          <w:tcPr>
            <w:tcW w:w="65"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unrecognized stock-based compensation expense associated with our employees was $142 million as of June 28, 2024. We may receive additional allocations of share-based compensation expense associated with employees of our Parent who are engaged in corporate support functions.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12. Income Tax Expense </w:t>
      </w:r>
    </w:p>
    <w:p>
      <w:pPr>
        <w:pStyle w:val="TextBody"/>
        <w:bidi w:val="0"/>
        <w:spacing w:before="120" w:after="0"/>
        <w:jc w:val="left"/>
        <w:rPr>
          <w:rFonts w:ascii="Times New Roman" w:hAnsi="Times New Roman"/>
          <w:b/>
          <w:i/>
          <w:sz w:val="20"/>
        </w:rPr>
      </w:pPr>
      <w:r>
        <w:rPr>
          <w:rFonts w:ascii="Times New Roman" w:hAnsi="Times New Roman"/>
          <w:b/>
          <w:i/>
          <w:sz w:val="20"/>
        </w:rPr>
        <w:t xml:space="preserve">Income (loss) Before Taxes </w:t>
      </w:r>
    </w:p>
    <w:p>
      <w:pPr>
        <w:pStyle w:val="TextBody"/>
        <w:bidi w:val="0"/>
        <w:spacing w:before="120" w:after="0"/>
        <w:jc w:val="left"/>
        <w:rPr>
          <w:rFonts w:ascii="Times New Roman" w:hAnsi="Times New Roman"/>
          <w:sz w:val="20"/>
        </w:rPr>
      </w:pPr>
      <w:r>
        <w:rPr>
          <w:rFonts w:ascii="Times New Roman" w:hAnsi="Times New Roman"/>
          <w:sz w:val="20"/>
        </w:rPr>
        <w:t xml:space="preserve">The domestic and foreign components of Income (loss) before taxes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22"/>
        <w:gridCol w:w="336"/>
        <w:gridCol w:w="149"/>
        <w:gridCol w:w="469"/>
        <w:gridCol w:w="158"/>
        <w:gridCol w:w="336"/>
        <w:gridCol w:w="149"/>
        <w:gridCol w:w="643"/>
        <w:gridCol w:w="157"/>
        <w:gridCol w:w="336"/>
        <w:gridCol w:w="149"/>
        <w:gridCol w:w="599"/>
        <w:gridCol w:w="69"/>
      </w:tblGrid>
      <w:tr>
        <w:trPr/>
        <w:tc>
          <w:tcPr>
            <w:tcW w:w="5022"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02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9" w:type="dxa"/>
            <w:tcBorders/>
            <w:vAlign w:val="bottom"/>
          </w:tcPr>
          <w:p>
            <w:pPr>
              <w:pStyle w:val="TableContents"/>
              <w:bidi w:val="0"/>
              <w:spacing w:before="0" w:after="283"/>
              <w:jc w:val="left"/>
              <w:rPr/>
            </w:pPr>
            <w:r>
              <w:rPr/>
              <w:t> </w:t>
            </w:r>
          </w:p>
        </w:tc>
      </w:tr>
      <w:tr>
        <w:trPr/>
        <w:tc>
          <w:tcPr>
            <w:tcW w:w="502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3145" w:type="dxa"/>
            <w:gridSpan w:val="10"/>
            <w:tcBorders/>
            <w:vAlign w:val="bottom"/>
          </w:tcPr>
          <w:p>
            <w:pPr>
              <w:pStyle w:val="TableContents"/>
              <w:bidi w:val="0"/>
              <w:spacing w:before="0" w:after="283"/>
              <w:jc w:val="center"/>
              <w:rPr>
                <w:i/>
              </w:rPr>
            </w:pPr>
            <w:r>
              <w:rPr>
                <w:i/>
              </w:rPr>
              <w:t>(in millions)</w:t>
            </w:r>
          </w:p>
        </w:tc>
        <w:tc>
          <w:tcPr>
            <w:tcW w:w="69" w:type="dxa"/>
            <w:tcBorders/>
            <w:vAlign w:val="bottom"/>
          </w:tcPr>
          <w:p>
            <w:pPr>
              <w:pStyle w:val="TableContents"/>
              <w:bidi w:val="0"/>
              <w:spacing w:before="0" w:after="283"/>
              <w:jc w:val="left"/>
              <w:rPr/>
            </w:pPr>
            <w:r>
              <w:rPr/>
              <w:t> </w:t>
            </w:r>
          </w:p>
        </w:tc>
      </w:tr>
      <w:tr>
        <w:trPr/>
        <w:tc>
          <w:tcPr>
            <w:tcW w:w="5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3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(543</w:t>
            </w:r>
          </w:p>
        </w:tc>
        <w:tc>
          <w:tcPr>
            <w:tcW w:w="158"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(2,253</w:t>
            </w:r>
          </w:p>
        </w:tc>
        <w:tc>
          <w:tcPr>
            <w:tcW w:w="157"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599" w:type="dxa"/>
            <w:tcBorders/>
            <w:shd w:fill="CCEEFF" w:val="clear"/>
            <w:vAlign w:val="bottom"/>
          </w:tcPr>
          <w:p>
            <w:pPr>
              <w:pStyle w:val="TableContents"/>
              <w:bidi w:val="0"/>
              <w:spacing w:before="0" w:after="283"/>
              <w:jc w:val="right"/>
              <w:rPr/>
            </w:pPr>
            <w:r>
              <w:rPr/>
              <w:t>276</w:t>
            </w:r>
          </w:p>
        </w:tc>
        <w:tc>
          <w:tcPr>
            <w:tcW w:w="69" w:type="dxa"/>
            <w:tcBorders/>
            <w:shd w:fill="CCEEFF" w:val="clear"/>
            <w:vAlign w:val="bottom"/>
          </w:tcPr>
          <w:p>
            <w:pPr>
              <w:pStyle w:val="TableContents"/>
              <w:bidi w:val="0"/>
              <w:spacing w:before="0" w:after="283"/>
              <w:jc w:val="left"/>
              <w:rPr/>
            </w:pPr>
            <w:r>
              <w:rPr/>
              <w:t> </w:t>
            </w:r>
          </w:p>
        </w:tc>
      </w:tr>
      <w:tr>
        <w:trPr/>
        <w:tc>
          <w:tcPr>
            <w:tcW w:w="5022" w:type="dxa"/>
            <w:tcBorders/>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251</w:t>
            </w:r>
          </w:p>
        </w:tc>
        <w:tc>
          <w:tcPr>
            <w:tcW w:w="157"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958</w:t>
            </w:r>
          </w:p>
        </w:tc>
        <w:tc>
          <w:tcPr>
            <w:tcW w:w="69" w:type="dxa"/>
            <w:tcBorders/>
            <w:vAlign w:val="bottom"/>
          </w:tcPr>
          <w:p>
            <w:pPr>
              <w:pStyle w:val="TableContents"/>
              <w:bidi w:val="0"/>
              <w:spacing w:before="0" w:after="283"/>
              <w:jc w:val="left"/>
              <w:rPr/>
            </w:pPr>
            <w:r>
              <w:rPr/>
              <w:t> </w:t>
            </w:r>
          </w:p>
        </w:tc>
      </w:tr>
      <w:tr>
        <w:trPr/>
        <w:tc>
          <w:tcPr>
            <w:tcW w:w="5022"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5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33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(503</w:t>
            </w:r>
          </w:p>
        </w:tc>
        <w:tc>
          <w:tcPr>
            <w:tcW w:w="158"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(2,002</w:t>
            </w:r>
          </w:p>
        </w:tc>
        <w:tc>
          <w:tcPr>
            <w:tcW w:w="157"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599" w:type="dxa"/>
            <w:tcBorders/>
            <w:shd w:fill="CCEEFF" w:val="clear"/>
            <w:vAlign w:val="bottom"/>
          </w:tcPr>
          <w:p>
            <w:pPr>
              <w:pStyle w:val="TableContents"/>
              <w:bidi w:val="0"/>
              <w:spacing w:before="0" w:after="283"/>
              <w:jc w:val="right"/>
              <w:rPr/>
            </w:pPr>
            <w:r>
              <w:rPr/>
              <w:t>1,234</w:t>
            </w:r>
          </w:p>
        </w:tc>
        <w:tc>
          <w:tcPr>
            <w:tcW w:w="69" w:type="dxa"/>
            <w:tcBorders/>
            <w:shd w:fill="CCEEFF" w:val="clear"/>
            <w:vAlign w:val="bottom"/>
          </w:tcPr>
          <w:p>
            <w:pPr>
              <w:pStyle w:val="TableContents"/>
              <w:bidi w:val="0"/>
              <w:spacing w:before="0" w:after="283"/>
              <w:jc w:val="left"/>
              <w:rPr/>
            </w:pPr>
            <w:r>
              <w:rPr/>
              <w:t> </w:t>
            </w:r>
          </w:p>
        </w:tc>
      </w:tr>
      <w:tr>
        <w:trPr/>
        <w:tc>
          <w:tcPr>
            <w:tcW w:w="5022"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59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the income tax expense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506"/>
        <w:gridCol w:w="343"/>
        <w:gridCol w:w="140"/>
        <w:gridCol w:w="382"/>
        <w:gridCol w:w="155"/>
        <w:gridCol w:w="343"/>
        <w:gridCol w:w="140"/>
        <w:gridCol w:w="382"/>
        <w:gridCol w:w="155"/>
        <w:gridCol w:w="343"/>
        <w:gridCol w:w="140"/>
        <w:gridCol w:w="382"/>
        <w:gridCol w:w="161"/>
      </w:tblGrid>
      <w:tr>
        <w:trPr/>
        <w:tc>
          <w:tcPr>
            <w:tcW w:w="5506"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562" w:type="dxa"/>
            <w:gridSpan w:val="10"/>
            <w:tcBorders/>
            <w:vAlign w:val="bottom"/>
          </w:tcPr>
          <w:p>
            <w:pPr>
              <w:pStyle w:val="TableContents"/>
              <w:bidi w:val="0"/>
              <w:spacing w:before="0" w:after="283"/>
              <w:jc w:val="center"/>
              <w:rPr>
                <w:i/>
              </w:rPr>
            </w:pPr>
            <w:r>
              <w:rPr>
                <w:i/>
              </w:rPr>
              <w:t>(in millions)</w:t>
            </w:r>
          </w:p>
        </w:tc>
        <w:tc>
          <w:tcPr>
            <w:tcW w:w="161"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84</w:t>
            </w:r>
          </w:p>
        </w:tc>
        <w:tc>
          <w:tcPr>
            <w:tcW w:w="161"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 Federal</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141</w:t>
            </w:r>
          </w:p>
        </w:tc>
        <w:tc>
          <w:tcPr>
            <w:tcW w:w="161"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U.S. - State</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w:t>
            </w:r>
          </w:p>
        </w:tc>
        <w:tc>
          <w:tcPr>
            <w:tcW w:w="161"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506"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185</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222</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238</w:t>
            </w:r>
          </w:p>
        </w:tc>
        <w:tc>
          <w:tcPr>
            <w:tcW w:w="161"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24</w:t>
            </w:r>
          </w:p>
        </w:tc>
        <w:tc>
          <w:tcPr>
            <w:tcW w:w="161"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U.S. - Federal</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(82</w:t>
            </w:r>
          </w:p>
        </w:tc>
        <w:tc>
          <w:tcPr>
            <w:tcW w:w="161"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 State</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(10</w:t>
            </w:r>
          </w:p>
        </w:tc>
        <w:tc>
          <w:tcPr>
            <w:tcW w:w="161"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(68</w:t>
            </w:r>
          </w:p>
        </w:tc>
        <w:tc>
          <w:tcPr>
            <w:tcW w:w="161"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income tax expense (benefit)</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170</w:t>
            </w:r>
          </w:p>
        </w:tc>
        <w:tc>
          <w:tcPr>
            <w:tcW w:w="161"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Cuts and Jobs Act (the 2017 Act), enacted on December 22, 2017, includes a broad range of tax reform proposals affecting businesses. Our Parent completed its accounting for the tax effects of the enactment of the 2017 Act during the second quarter of 2019. However, the U.S. Treasury and the IRS have issued tax guidance on certain provisions of the 2017 Act since the enactment date, and the Business anticipates the issuance of additional regulatory and interpretive guidance. The Parent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Businesss estimates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$1.00 billion. The Business is not subject to the CAMT of 15% for fiscal year 2024 as its average annual AFSI did not exceed $1.00 billion for the preceding three-year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Deferred Taxes </w:t>
      </w:r>
    </w:p>
    <w:p>
      <w:pPr>
        <w:pStyle w:val="TextBody"/>
        <w:bidi w:val="0"/>
        <w:spacing w:before="120" w:after="0"/>
        <w:jc w:val="left"/>
        <w:rPr>
          <w:rFonts w:ascii="Times New Roman" w:hAnsi="Times New Roman"/>
          <w:sz w:val="20"/>
        </w:rPr>
      </w:pPr>
      <w:r>
        <w:rPr>
          <w:rFonts w:ascii="Times New Roman" w:hAnsi="Times New Roman"/>
          <w:sz w:val="20"/>
        </w:rPr>
        <w:t xml:space="preserve">Temporary differences and carryforwards, which give rise to a significant portion of deferred tax assets and liabilities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3"/>
        <w:gridCol w:w="568"/>
        <w:gridCol w:w="205"/>
        <w:gridCol w:w="671"/>
        <w:gridCol w:w="155"/>
        <w:gridCol w:w="568"/>
        <w:gridCol w:w="205"/>
        <w:gridCol w:w="671"/>
        <w:gridCol w:w="159"/>
      </w:tblGrid>
      <w:tr>
        <w:trPr/>
        <w:tc>
          <w:tcPr>
            <w:tcW w:w="4553"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53"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9" w:type="dxa"/>
            <w:tcBorders/>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475" w:type="dxa"/>
            <w:gridSpan w:val="6"/>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6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6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Sales related reserves and accrued expenses not currently deductible</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56</w:t>
            </w:r>
          </w:p>
        </w:tc>
        <w:tc>
          <w:tcPr>
            <w:tcW w:w="159"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 not currently deductible</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7</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accruals</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19</w:t>
            </w:r>
          </w:p>
        </w:tc>
        <w:tc>
          <w:tcPr>
            <w:tcW w:w="159"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15</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Share based compensation</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17</w:t>
            </w:r>
          </w:p>
        </w:tc>
        <w:tc>
          <w:tcPr>
            <w:tcW w:w="159"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Long-lived assets</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28</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(loss)</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44</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250</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215</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(13</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Foreign withholding tax</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(93</w:t>
            </w:r>
          </w:p>
        </w:tc>
        <w:tc>
          <w:tcPr>
            <w:tcW w:w="159"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(6</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(141</w:t>
            </w:r>
          </w:p>
        </w:tc>
        <w:tc>
          <w:tcPr>
            <w:tcW w:w="159" w:type="dxa"/>
            <w:tcBorders/>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allowances</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5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48</w:t>
            </w:r>
          </w:p>
        </w:tc>
        <w:tc>
          <w:tcPr>
            <w:tcW w:w="159" w:type="dxa"/>
            <w:tcBorders/>
            <w:vAlign w:val="bottom"/>
          </w:tcPr>
          <w:p>
            <w:pPr>
              <w:pStyle w:val="TableContents"/>
              <w:bidi w:val="0"/>
              <w:spacing w:before="0" w:after="283"/>
              <w:jc w:val="left"/>
              <w:rPr/>
            </w:pPr>
            <w:r>
              <w:rPr/>
              <w:t> </w:t>
            </w:r>
          </w:p>
        </w:tc>
      </w:tr>
      <w:tr>
        <w:trPr/>
        <w:tc>
          <w:tcPr>
            <w:tcW w:w="455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6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67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Deferred tax assets and deferred tax liabilities are shown on the Combined Balance Sheets netted on a jurisdictional basis. </w:t>
      </w:r>
    </w:p>
    <w:p>
      <w:pPr>
        <w:pStyle w:val="TextBody"/>
        <w:bidi w:val="0"/>
        <w:spacing w:before="240" w:after="0"/>
        <w:jc w:val="left"/>
        <w:rPr>
          <w:rFonts w:ascii="Times New Roman" w:hAnsi="Times New Roman"/>
          <w:sz w:val="20"/>
        </w:rPr>
      </w:pPr>
      <w:r>
        <w:rPr>
          <w:rFonts w:ascii="Times New Roman" w:hAnsi="Times New Roman"/>
          <w:sz w:val="20"/>
        </w:rPr>
        <w:t xml:space="preserve">The assessment of valuation allowances against deferred tax assets requires estimations and significant judgment. The Business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Business determined that it is able to realize most of its deferred tax assets with the exception of certain loss and credit carryforwards. </w:t>
      </w:r>
    </w:p>
    <w:p>
      <w:pPr>
        <w:pStyle w:val="TextBody"/>
        <w:bidi w:val="0"/>
        <w:spacing w:before="240" w:after="0"/>
        <w:jc w:val="left"/>
        <w:rPr>
          <w:rFonts w:ascii="Times New Roman" w:hAnsi="Times New Roman"/>
          <w:sz w:val="20"/>
        </w:rPr>
      </w:pPr>
      <w:r>
        <w:rPr>
          <w:rFonts w:ascii="Times New Roman" w:hAnsi="Times New Roman"/>
          <w:sz w:val="20"/>
        </w:rPr>
        <w:t xml:space="preserve">The Business is permanently reinvested with respect to certain foreign earnings. There is no unrecognized deferred tax liability associated with the repatriation of these foreign undistributed earnings as it can be achieved without additional federal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Reconciliation of the U.S. federal statutory rate to the Businesss effective tax rate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4"/>
        <w:gridCol w:w="413"/>
        <w:gridCol w:w="60"/>
        <w:gridCol w:w="520"/>
        <w:gridCol w:w="369"/>
        <w:gridCol w:w="307"/>
        <w:gridCol w:w="60"/>
        <w:gridCol w:w="520"/>
        <w:gridCol w:w="369"/>
        <w:gridCol w:w="307"/>
        <w:gridCol w:w="60"/>
        <w:gridCol w:w="451"/>
        <w:gridCol w:w="282"/>
      </w:tblGrid>
      <w:tr>
        <w:trPr/>
        <w:tc>
          <w:tcPr>
            <w:tcW w:w="4854"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at federal statutory tax rate</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21.0</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21.0</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21.0</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Tax rate differential on international incomes</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(42.3</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(28.7</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0.4</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withholding tax</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(10.8</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(1.7</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2.9</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(2.2</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(0.4</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1.4</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of U.S foreign income inclusion</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(1.2</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(0.4</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5.8</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Tax effect of U.S foreign derived intangible income</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1.9</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3.1</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(7.6</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of permanent differences</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(1.4</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(0.5</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(0.1</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Tax effect of goodwill impairment</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 </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(7.0</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of intangible assets</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0.9</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4.3</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(6.5</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Tax rate change</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0.6</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0.1</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Unremitted earnings of certain non-U.S. entities</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2.2</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0.4</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uncertain tax positions</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(11.4</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0.6</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0.5</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Return to provision adjustment</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(1.3</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(0.2</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(0.5</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credits</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5.1</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1.4</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(2.4</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tax credits</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2.7</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1.0</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(2.1</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Tax effect of share-based compensation</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(1.1</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(0.5</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0.9</w:t>
            </w:r>
          </w:p>
        </w:tc>
        <w:tc>
          <w:tcPr>
            <w:tcW w:w="282" w:type="dxa"/>
            <w:tcBorders/>
            <w:vAlign w:val="bottom"/>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audit settlements</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3.3</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 </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0.4</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0.5</w:t>
            </w:r>
          </w:p>
        </w:tc>
        <w:tc>
          <w:tcPr>
            <w:tcW w:w="36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0.1</w:t>
            </w:r>
          </w:p>
        </w:tc>
        <w:tc>
          <w:tcPr>
            <w:tcW w:w="282" w:type="dxa"/>
            <w:tcBorders/>
            <w:vAlign w:val="bottom"/>
          </w:tcPr>
          <w:p>
            <w:pPr>
              <w:pStyle w:val="TableContents"/>
              <w:bidi w:val="0"/>
              <w:spacing w:before="0" w:after="283"/>
              <w:jc w:val="left"/>
              <w:rPr/>
            </w:pPr>
            <w:r>
              <w:rPr/>
              <w:t> </w:t>
            </w:r>
          </w:p>
        </w:tc>
      </w:tr>
      <w:tr>
        <w:trPr/>
        <w:tc>
          <w:tcPr>
            <w:tcW w:w="4854"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20" w:type="dxa"/>
            <w:tcBorders/>
            <w:vAlign w:val="bottom"/>
          </w:tcPr>
          <w:p>
            <w:pPr>
              <w:pStyle w:val="TableContents"/>
              <w:pBdr>
                <w:top w:val="single" w:sz="2" w:space="1" w:color="000000"/>
              </w:pBdr>
              <w:bidi w:val="0"/>
              <w:spacing w:before="0" w:after="0"/>
              <w:jc w:val="left"/>
              <w:rPr/>
            </w:pPr>
            <w:r>
              <w:rPr/>
              <w:t> </w:t>
            </w:r>
          </w:p>
        </w:tc>
        <w:tc>
          <w:tcPr>
            <w:tcW w:w="369"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20" w:type="dxa"/>
            <w:tcBorders/>
            <w:vAlign w:val="bottom"/>
          </w:tcPr>
          <w:p>
            <w:pPr>
              <w:pStyle w:val="TableContents"/>
              <w:pBdr>
                <w:top w:val="single" w:sz="2" w:space="1" w:color="000000"/>
              </w:pBdr>
              <w:bidi w:val="0"/>
              <w:spacing w:before="0" w:after="0"/>
              <w:jc w:val="left"/>
              <w:rPr/>
            </w:pPr>
            <w:r>
              <w:rPr/>
              <w:t> </w:t>
            </w:r>
          </w:p>
        </w:tc>
        <w:tc>
          <w:tcPr>
            <w:tcW w:w="369"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4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(33.6</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(7.0</w:t>
            </w:r>
          </w:p>
        </w:tc>
        <w:tc>
          <w:tcPr>
            <w:tcW w:w="369"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right"/>
              <w:rPr/>
            </w:pPr>
            <w:r>
              <w:rPr/>
              <w:t>13.8</w:t>
            </w:r>
          </w:p>
        </w:tc>
        <w:tc>
          <w:tcPr>
            <w:tcW w:w="282" w:type="dxa"/>
            <w:tcBorders/>
            <w:shd w:fill="CCEEFF" w:val="clear"/>
            <w:vAlign w:val="bottom"/>
          </w:tcPr>
          <w:p>
            <w:pPr>
              <w:pStyle w:val="TableContents"/>
              <w:bidi w:val="0"/>
              <w:spacing w:before="0" w:after="283"/>
              <w:jc w:val="left"/>
              <w:rPr/>
            </w:pPr>
            <w:r>
              <w:rPr/>
              <w:t>% </w:t>
            </w:r>
          </w:p>
        </w:tc>
      </w:tr>
      <w:tr>
        <w:trPr/>
        <w:tc>
          <w:tcPr>
            <w:tcW w:w="4854"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20" w:type="dxa"/>
            <w:tcBorders/>
            <w:vAlign w:val="bottom"/>
          </w:tcPr>
          <w:p>
            <w:pPr>
              <w:pStyle w:val="TableContents"/>
              <w:pBdr>
                <w:top w:val="double" w:sz="6" w:space="1" w:color="000000"/>
              </w:pBdr>
              <w:bidi w:val="0"/>
              <w:spacing w:before="0" w:after="0"/>
              <w:jc w:val="left"/>
              <w:rPr/>
            </w:pPr>
            <w:r>
              <w:rPr/>
              <w:t> </w:t>
            </w:r>
          </w:p>
        </w:tc>
        <w:tc>
          <w:tcPr>
            <w:tcW w:w="369"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20" w:type="dxa"/>
            <w:tcBorders/>
            <w:vAlign w:val="bottom"/>
          </w:tcPr>
          <w:p>
            <w:pPr>
              <w:pStyle w:val="TableContents"/>
              <w:pBdr>
                <w:top w:val="double" w:sz="6" w:space="1" w:color="000000"/>
              </w:pBdr>
              <w:bidi w:val="0"/>
              <w:spacing w:before="0" w:after="0"/>
              <w:jc w:val="left"/>
              <w:rPr/>
            </w:pPr>
            <w:r>
              <w:rPr/>
              <w:t> </w:t>
            </w:r>
          </w:p>
        </w:tc>
        <w:tc>
          <w:tcPr>
            <w:tcW w:w="369"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5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 Holidays and Carryforwards </w:t>
      </w:r>
    </w:p>
    <w:p>
      <w:pPr>
        <w:pStyle w:val="TextBody"/>
        <w:bidi w:val="0"/>
        <w:spacing w:before="120" w:after="0"/>
        <w:jc w:val="left"/>
        <w:rPr>
          <w:rFonts w:ascii="Times New Roman" w:hAnsi="Times New Roman"/>
          <w:sz w:val="20"/>
        </w:rPr>
      </w:pPr>
      <w:r>
        <w:rPr>
          <w:rFonts w:ascii="Times New Roman" w:hAnsi="Times New Roman"/>
          <w:sz w:val="20"/>
        </w:rPr>
        <w:t xml:space="preserve">A substantial portion of the Businesss manufacturing operations in Malaysia operate under various tax holidays and tax incentive programs, which will expire in whole or in part at various dates during 2028 through 2031. Certain of the holidays may be extended if specific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As of June 28, 2024, the Business does not have federal and state NOL/tax credit carryforwards. As of June 28, 2024, the Business had varying amounts of foreign NOL carryforwards that do not expire or, if not used, expire in various years, depending on the country. The major jurisdictions within which the Business receives foreign NOL carryforwards and the related amounts and expiration dates of these NOL carryforwards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74"/>
        <w:gridCol w:w="614"/>
        <w:gridCol w:w="524"/>
        <w:gridCol w:w="981"/>
        <w:gridCol w:w="60"/>
        <w:gridCol w:w="614"/>
        <w:gridCol w:w="119"/>
        <w:gridCol w:w="1006"/>
        <w:gridCol w:w="63"/>
      </w:tblGrid>
      <w:tr>
        <w:trPr/>
        <w:tc>
          <w:tcPr>
            <w:tcW w:w="3774"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w:t>
            </w:r>
          </w:p>
        </w:tc>
        <w:tc>
          <w:tcPr>
            <w:tcW w:w="614"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NOL</w:t>
              <w:br/>
              <w:t>Carryforward</w:t>
              <w:br/>
              <w:t>Amount</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w:t>
            </w:r>
          </w:p>
        </w:tc>
        <w:tc>
          <w:tcPr>
            <w:tcW w:w="63" w:type="dxa"/>
            <w:tcBorders/>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3304" w:type="dxa"/>
            <w:gridSpan w:val="6"/>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3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614"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2028</w:t>
            </w:r>
          </w:p>
        </w:tc>
        <w:tc>
          <w:tcPr>
            <w:tcW w:w="63" w:type="dxa"/>
            <w:tcBorders/>
            <w:shd w:fill="CCEEFF" w:val="clear"/>
            <w:vAlign w:val="bottom"/>
          </w:tcPr>
          <w:p>
            <w:pPr>
              <w:pStyle w:val="TableContents"/>
              <w:bidi w:val="0"/>
              <w:spacing w:before="0" w:after="283"/>
              <w:jc w:val="left"/>
              <w:rPr/>
            </w:pPr>
            <w:r>
              <w:rPr/>
              <w:t> </w:t>
            </w:r>
          </w:p>
        </w:tc>
      </w:tr>
      <w:tr>
        <w:trPr/>
        <w:tc>
          <w:tcPr>
            <w:tcW w:w="3774" w:type="dxa"/>
            <w:tcBorders/>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614"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2026</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Uncertain Tax Positions </w:t>
      </w:r>
    </w:p>
    <w:p>
      <w:pPr>
        <w:pStyle w:val="TextBody"/>
        <w:bidi w:val="0"/>
        <w:spacing w:before="120" w:after="0"/>
        <w:jc w:val="left"/>
        <w:rPr>
          <w:rFonts w:ascii="Times New Roman" w:hAnsi="Times New Roman"/>
          <w:sz w:val="20"/>
        </w:rPr>
      </w:pPr>
      <w:r>
        <w:rPr>
          <w:rFonts w:ascii="Times New Roman" w:hAnsi="Times New Roman"/>
          <w:sz w:val="20"/>
        </w:rPr>
        <w:t xml:space="preserve">With the exception of certain unrecognized tax benefits that are directly associated with the tax position taken, unrecognized tax benefits are presented gross in the Combined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is a tabular reconciliation of the total amounts of unrecognized tax benefits excluding accrued interest and penalties: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342"/>
        <w:gridCol w:w="421"/>
        <w:gridCol w:w="175"/>
        <w:gridCol w:w="325"/>
        <w:gridCol w:w="155"/>
        <w:gridCol w:w="422"/>
        <w:gridCol w:w="175"/>
        <w:gridCol w:w="325"/>
        <w:gridCol w:w="155"/>
        <w:gridCol w:w="421"/>
        <w:gridCol w:w="175"/>
        <w:gridCol w:w="325"/>
        <w:gridCol w:w="156"/>
      </w:tblGrid>
      <w:tr>
        <w:trPr/>
        <w:tc>
          <w:tcPr>
            <w:tcW w:w="5342"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2"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653" w:type="dxa"/>
            <w:gridSpan w:val="10"/>
            <w:tcBorders/>
            <w:vAlign w:val="bottom"/>
          </w:tcPr>
          <w:p>
            <w:pPr>
              <w:pStyle w:val="TableContents"/>
              <w:bidi w:val="0"/>
              <w:spacing w:before="0" w:after="283"/>
              <w:jc w:val="center"/>
              <w:rPr>
                <w:i/>
              </w:rPr>
            </w:pPr>
            <w:r>
              <w:rPr>
                <w:i/>
              </w:rPr>
              <w:t>(in millions)</w:t>
            </w:r>
          </w:p>
        </w:tc>
        <w:tc>
          <w:tcPr>
            <w:tcW w:w="156"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tax benefit, beginning balance</w:t>
            </w:r>
          </w:p>
        </w:tc>
        <w:tc>
          <w:tcPr>
            <w:tcW w:w="4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25" w:type="dxa"/>
            <w:tcBorders/>
            <w:shd w:fill="CCEEFF" w:val="clear"/>
            <w:vAlign w:val="bottom"/>
          </w:tcPr>
          <w:p>
            <w:pPr>
              <w:pStyle w:val="TableContents"/>
              <w:bidi w:val="0"/>
              <w:spacing w:before="0" w:after="283"/>
              <w:jc w:val="right"/>
              <w:rPr/>
            </w:pPr>
            <w:r>
              <w:rPr/>
              <w:t>11</w:t>
            </w:r>
          </w:p>
        </w:tc>
        <w:tc>
          <w:tcPr>
            <w:tcW w:w="156" w:type="dxa"/>
            <w:tcBorders/>
            <w:shd w:fill="CCEEFF" w:val="clear"/>
            <w:vAlign w:val="bottom"/>
          </w:tcPr>
          <w:p>
            <w:pPr>
              <w:pStyle w:val="TableContents"/>
              <w:bidi w:val="0"/>
              <w:spacing w:before="0" w:after="283"/>
              <w:jc w:val="left"/>
              <w:rPr/>
            </w:pPr>
            <w:r>
              <w:rPr/>
              <w:t> </w:t>
            </w:r>
          </w:p>
        </w:tc>
      </w:tr>
      <w:tr>
        <w:trPr/>
        <w:tc>
          <w:tcPr>
            <w:tcW w:w="5342" w:type="dxa"/>
            <w:tcBorders/>
          </w:tcPr>
          <w:p>
            <w:pPr>
              <w:pStyle w:val="TableContents"/>
              <w:bidi w:val="0"/>
              <w:spacing w:before="0" w:after="0"/>
              <w:jc w:val="left"/>
              <w:rPr>
                <w:rFonts w:ascii="Times New Roman" w:hAnsi="Times New Roman"/>
                <w:sz w:val="20"/>
              </w:rPr>
            </w:pPr>
            <w:r>
              <w:rPr>
                <w:rFonts w:ascii="Times New Roman" w:hAnsi="Times New Roman"/>
                <w:sz w:val="20"/>
              </w:rPr>
              <w:t>Gross increases related to current year tax positions</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7</w:t>
            </w:r>
          </w:p>
        </w:tc>
        <w:tc>
          <w:tcPr>
            <w:tcW w:w="156"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increases related to prior year tax positions</w:t>
            </w:r>
          </w:p>
        </w:tc>
        <w:tc>
          <w:tcPr>
            <w:tcW w:w="4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r>
      <w:tr>
        <w:trPr/>
        <w:tc>
          <w:tcPr>
            <w:tcW w:w="5342" w:type="dxa"/>
            <w:tcBorders/>
          </w:tcPr>
          <w:p>
            <w:pPr>
              <w:pStyle w:val="TableContents"/>
              <w:bidi w:val="0"/>
              <w:spacing w:before="0" w:after="0"/>
              <w:jc w:val="left"/>
              <w:rPr>
                <w:rFonts w:ascii="Times New Roman" w:hAnsi="Times New Roman"/>
                <w:sz w:val="20"/>
              </w:rPr>
            </w:pPr>
            <w:r>
              <w:rPr>
                <w:rFonts w:ascii="Times New Roman" w:hAnsi="Times New Roman"/>
                <w:sz w:val="20"/>
              </w:rPr>
              <w:t>Gross decreases related to prior year tax positions</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right"/>
              <w:rPr/>
            </w:pPr>
            <w:r>
              <w:rPr/>
              <w:t>(1</w:t>
            </w:r>
          </w:p>
        </w:tc>
        <w:tc>
          <w:tcPr>
            <w:tcW w:w="156"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4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r>
      <w:tr>
        <w:trPr/>
        <w:tc>
          <w:tcPr>
            <w:tcW w:w="5342" w:type="dxa"/>
            <w:tcBorders/>
          </w:tcPr>
          <w:p>
            <w:pPr>
              <w:pStyle w:val="TableContents"/>
              <w:bidi w:val="0"/>
              <w:spacing w:before="0" w:after="0"/>
              <w:jc w:val="left"/>
              <w:rPr>
                <w:rFonts w:ascii="Times New Roman" w:hAnsi="Times New Roman"/>
                <w:sz w:val="20"/>
              </w:rPr>
            </w:pPr>
            <w:r>
              <w:rPr>
                <w:rFonts w:ascii="Times New Roman" w:hAnsi="Times New Roman"/>
                <w:sz w:val="20"/>
              </w:rPr>
              <w:t>Unrecognized tax benefit, ending balance</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325"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325"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325" w:type="dxa"/>
            <w:tcBorders/>
            <w:vAlign w:val="bottom"/>
          </w:tcPr>
          <w:p>
            <w:pPr>
              <w:pStyle w:val="TableContents"/>
              <w:bidi w:val="0"/>
              <w:spacing w:before="0" w:after="283"/>
              <w:jc w:val="right"/>
              <w:rPr/>
            </w:pPr>
            <w:r>
              <w:rPr/>
              <w:t>17</w:t>
            </w:r>
          </w:p>
        </w:tc>
        <w:tc>
          <w:tcPr>
            <w:tcW w:w="156" w:type="dxa"/>
            <w:tcBorders/>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28, 2024, June 30, 2023, and July 1, 2022, the portion of the gross unrecognized tax benefits, if recognized, that would affect the effective tax rate is $47 million, $25 million and $17 million, respectively. Interest and penalties related to unrecognized tax benefits are recognized in liabilities recorded for uncertain tax positions and are recorded in the provision for income taxes. Accrued interest and penalties included in the Businesss liability related to unrecognized tax benefits as of June 28, 2024, June 30, 2023, and July 1, 2022 was $9 million, $5 million and $5 million, respectively. As of June 28, 2024, June 30, 2023, and July 1, 2022 the Businesss payables related to unrecognized tax benefits, including accrued interest and penalties, were $56 million, $30 million and $22 million, respectively. The remaining payables related to unrecognized tax benefits are included in other liabilities on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Businesss Parent files U.S. Federal, U.S. state and foreign tax returns. For both federal and state tax returns, with few exceptions, our Parent is subject to examination from 2013 through 2022. Our Parent is no longer subject to examination by the IRS for periods prior to 2012, although carry forwards generated prior to those periods may still be adjusted upon examination by the IRS or state taxing authority if they either have been or will be used in a subsequent period. In the major foreign jurisdictions where there is no tax holiday, our Parent could be subject to examination as noted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14"/>
        <w:gridCol w:w="454"/>
        <w:gridCol w:w="85"/>
        <w:gridCol w:w="1523"/>
        <w:gridCol w:w="63"/>
      </w:tblGrid>
      <w:tr>
        <w:trPr/>
        <w:tc>
          <w:tcPr>
            <w:tcW w:w="4814"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w:t>
            </w:r>
          </w:p>
        </w:tc>
        <w:tc>
          <w:tcPr>
            <w:tcW w:w="454" w:type="dxa"/>
            <w:tcBorders/>
            <w:vAlign w:val="bottom"/>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Subject</w:t>
              <w:br/>
              <w:t>to Examination</w:t>
            </w:r>
          </w:p>
        </w:tc>
        <w:tc>
          <w:tcPr>
            <w:tcW w:w="63" w:type="dxa"/>
            <w:tcBorders/>
            <w:vAlign w:val="bottom"/>
          </w:tcPr>
          <w:p>
            <w:pPr>
              <w:pStyle w:val="TableContents"/>
              <w:bidi w:val="0"/>
              <w:spacing w:before="0" w:after="283"/>
              <w:jc w:val="left"/>
              <w:rPr/>
            </w:pPr>
            <w:r>
              <w:rPr/>
              <w:t> </w:t>
            </w:r>
          </w:p>
        </w:tc>
      </w:tr>
      <w:tr>
        <w:trPr/>
        <w:tc>
          <w:tcPr>
            <w:tcW w:w="4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 (calendar)</w:t>
            </w:r>
          </w:p>
        </w:tc>
        <w:tc>
          <w:tcPr>
            <w:tcW w:w="45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2014-2023</w:t>
            </w:r>
          </w:p>
        </w:tc>
        <w:tc>
          <w:tcPr>
            <w:tcW w:w="63" w:type="dxa"/>
            <w:tcBorders/>
            <w:shd w:fill="CCEEFF" w:val="clear"/>
            <w:vAlign w:val="bottom"/>
          </w:tcPr>
          <w:p>
            <w:pPr>
              <w:pStyle w:val="TableContents"/>
              <w:bidi w:val="0"/>
              <w:spacing w:before="0" w:after="283"/>
              <w:jc w:val="left"/>
              <w:rPr/>
            </w:pPr>
            <w:r>
              <w:rPr/>
              <w:t> </w:t>
            </w:r>
          </w:p>
        </w:tc>
      </w:tr>
      <w:tr>
        <w:trPr/>
        <w:tc>
          <w:tcPr>
            <w:tcW w:w="4814" w:type="dxa"/>
            <w:tcBorders/>
          </w:tcPr>
          <w:p>
            <w:pPr>
              <w:pStyle w:val="TableContents"/>
              <w:bidi w:val="0"/>
              <w:spacing w:before="0" w:after="0"/>
              <w:jc w:val="left"/>
              <w:rPr>
                <w:rFonts w:ascii="Times New Roman" w:hAnsi="Times New Roman"/>
                <w:sz w:val="20"/>
              </w:rPr>
            </w:pPr>
            <w:r>
              <w:rPr>
                <w:rFonts w:ascii="Times New Roman" w:hAnsi="Times New Roman"/>
                <w:sz w:val="20"/>
              </w:rPr>
              <w:t>Ireland (fiscal)</w:t>
            </w:r>
          </w:p>
        </w:tc>
        <w:tc>
          <w:tcPr>
            <w:tcW w:w="4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2020-2023</w:t>
            </w:r>
          </w:p>
        </w:tc>
        <w:tc>
          <w:tcPr>
            <w:tcW w:w="63" w:type="dxa"/>
            <w:tcBorders/>
            <w:vAlign w:val="bottom"/>
          </w:tcPr>
          <w:p>
            <w:pPr>
              <w:pStyle w:val="TableContents"/>
              <w:bidi w:val="0"/>
              <w:spacing w:before="0" w:after="283"/>
              <w:jc w:val="left"/>
              <w:rPr/>
            </w:pPr>
            <w:r>
              <w:rPr/>
              <w:t> </w:t>
            </w:r>
          </w:p>
        </w:tc>
      </w:tr>
      <w:tr>
        <w:trPr/>
        <w:tc>
          <w:tcPr>
            <w:tcW w:w="4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India (fiscal)</w:t>
            </w:r>
          </w:p>
        </w:tc>
        <w:tc>
          <w:tcPr>
            <w:tcW w:w="45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2009-2023</w:t>
            </w:r>
          </w:p>
        </w:tc>
        <w:tc>
          <w:tcPr>
            <w:tcW w:w="63" w:type="dxa"/>
            <w:tcBorders/>
            <w:shd w:fill="CCEEFF" w:val="clear"/>
            <w:vAlign w:val="bottom"/>
          </w:tcPr>
          <w:p>
            <w:pPr>
              <w:pStyle w:val="TableContents"/>
              <w:bidi w:val="0"/>
              <w:spacing w:before="0" w:after="283"/>
              <w:jc w:val="left"/>
              <w:rPr/>
            </w:pPr>
            <w:r>
              <w:rPr/>
              <w:t> </w:t>
            </w:r>
          </w:p>
        </w:tc>
      </w:tr>
      <w:tr>
        <w:trPr/>
        <w:tc>
          <w:tcPr>
            <w:tcW w:w="4814" w:type="dxa"/>
            <w:tcBorders/>
          </w:tcPr>
          <w:p>
            <w:pPr>
              <w:pStyle w:val="TableContents"/>
              <w:bidi w:val="0"/>
              <w:spacing w:before="0" w:after="0"/>
              <w:jc w:val="left"/>
              <w:rPr>
                <w:rFonts w:ascii="Times New Roman" w:hAnsi="Times New Roman"/>
                <w:sz w:val="20"/>
              </w:rPr>
            </w:pPr>
            <w:r>
              <w:rPr>
                <w:rFonts w:ascii="Times New Roman" w:hAnsi="Times New Roman"/>
                <w:sz w:val="20"/>
              </w:rPr>
              <w:t>Israel (fiscal)</w:t>
            </w:r>
          </w:p>
        </w:tc>
        <w:tc>
          <w:tcPr>
            <w:tcW w:w="4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2014-2023</w:t>
            </w:r>
          </w:p>
        </w:tc>
        <w:tc>
          <w:tcPr>
            <w:tcW w:w="63" w:type="dxa"/>
            <w:tcBorders/>
            <w:vAlign w:val="bottom"/>
          </w:tcPr>
          <w:p>
            <w:pPr>
              <w:pStyle w:val="TableContents"/>
              <w:bidi w:val="0"/>
              <w:spacing w:before="0" w:after="283"/>
              <w:jc w:val="left"/>
              <w:rPr/>
            </w:pPr>
            <w:r>
              <w:rPr/>
              <w:t> </w:t>
            </w:r>
          </w:p>
        </w:tc>
      </w:tr>
      <w:tr>
        <w:trPr/>
        <w:tc>
          <w:tcPr>
            <w:tcW w:w="4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Japan (fiscal)</w:t>
            </w:r>
          </w:p>
        </w:tc>
        <w:tc>
          <w:tcPr>
            <w:tcW w:w="45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2017-2023</w:t>
            </w:r>
          </w:p>
        </w:tc>
        <w:tc>
          <w:tcPr>
            <w:tcW w:w="63" w:type="dxa"/>
            <w:tcBorders/>
            <w:shd w:fill="CCEEFF" w:val="clear"/>
            <w:vAlign w:val="bottom"/>
          </w:tcPr>
          <w:p>
            <w:pPr>
              <w:pStyle w:val="TableContents"/>
              <w:bidi w:val="0"/>
              <w:spacing w:before="0" w:after="283"/>
              <w:jc w:val="left"/>
              <w:rPr/>
            </w:pPr>
            <w:r>
              <w:rPr/>
              <w:t> </w:t>
            </w:r>
          </w:p>
        </w:tc>
      </w:tr>
      <w:tr>
        <w:trPr/>
        <w:tc>
          <w:tcPr>
            <w:tcW w:w="4814" w:type="dxa"/>
            <w:tcBorders/>
          </w:tcPr>
          <w:p>
            <w:pPr>
              <w:pStyle w:val="TableContents"/>
              <w:bidi w:val="0"/>
              <w:spacing w:before="0" w:after="0"/>
              <w:jc w:val="left"/>
              <w:rPr>
                <w:rFonts w:ascii="Times New Roman" w:hAnsi="Times New Roman"/>
                <w:sz w:val="20"/>
              </w:rPr>
            </w:pPr>
            <w:r>
              <w:rPr>
                <w:rFonts w:ascii="Times New Roman" w:hAnsi="Times New Roman"/>
                <w:sz w:val="20"/>
              </w:rPr>
              <w:t>Malaysia (fiscal)</w:t>
            </w:r>
          </w:p>
        </w:tc>
        <w:tc>
          <w:tcPr>
            <w:tcW w:w="4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2017-2023</w:t>
            </w:r>
          </w:p>
        </w:tc>
        <w:tc>
          <w:tcPr>
            <w:tcW w:w="63" w:type="dxa"/>
            <w:tcBorders/>
            <w:vAlign w:val="bottom"/>
          </w:tcPr>
          <w:p>
            <w:pPr>
              <w:pStyle w:val="TableContents"/>
              <w:bidi w:val="0"/>
              <w:spacing w:before="0" w:after="283"/>
              <w:jc w:val="left"/>
              <w:rPr/>
            </w:pPr>
            <w:r>
              <w:rPr/>
              <w:t> </w:t>
            </w:r>
          </w:p>
        </w:tc>
      </w:tr>
      <w:tr>
        <w:trPr/>
        <w:tc>
          <w:tcPr>
            <w:tcW w:w="4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Singapore (fiscal)</w:t>
            </w:r>
          </w:p>
        </w:tc>
        <w:tc>
          <w:tcPr>
            <w:tcW w:w="45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2020-2023</w:t>
            </w:r>
          </w:p>
        </w:tc>
        <w:tc>
          <w:tcPr>
            <w:tcW w:w="63" w:type="dxa"/>
            <w:tcBorders/>
            <w:shd w:fill="CCEEFF" w:val="clear"/>
            <w:vAlign w:val="bottom"/>
          </w:tcPr>
          <w:p>
            <w:pPr>
              <w:pStyle w:val="TableContents"/>
              <w:bidi w:val="0"/>
              <w:spacing w:before="0" w:after="283"/>
              <w:jc w:val="left"/>
              <w:rPr/>
            </w:pPr>
            <w:r>
              <w:rPr/>
              <w:t> </w:t>
            </w:r>
          </w:p>
        </w:tc>
      </w:tr>
      <w:tr>
        <w:trPr/>
        <w:tc>
          <w:tcPr>
            <w:tcW w:w="4814" w:type="dxa"/>
            <w:tcBorders/>
          </w:tcPr>
          <w:p>
            <w:pPr>
              <w:pStyle w:val="TableContents"/>
              <w:bidi w:val="0"/>
              <w:spacing w:before="0" w:after="0"/>
              <w:jc w:val="left"/>
              <w:rPr>
                <w:rFonts w:ascii="Times New Roman" w:hAnsi="Times New Roman"/>
                <w:sz w:val="20"/>
              </w:rPr>
            </w:pPr>
            <w:r>
              <w:rPr>
                <w:rFonts w:ascii="Times New Roman" w:hAnsi="Times New Roman"/>
                <w:sz w:val="20"/>
              </w:rPr>
              <w:t>United Kingdom (fiscal)</w:t>
            </w:r>
          </w:p>
        </w:tc>
        <w:tc>
          <w:tcPr>
            <w:tcW w:w="45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2022-2023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believes that adequate provision has been made for any adjustments that may result from any other tax examinations. However, the outcome of such tax examinations cannot be predicted with certainty. If any issues addressed in the Businesss tax examinations are resolved in a manner not consistent with managements expectations, the Business could be required to adjust its provision for income taxes in the period such resolution occurs. As of June 28, 2024, and June 30, 2023, with the exception of the tentative settlement, it was not possible to estimate the amount of change, if any, in the unrecognized tax benefits that is reasonably possible within the next twelve months. Any significant change in the amount of the Businesss liability for unrecognized tax benefits would most likely result from additional information relating to the examination of the Businesss tax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13. Employee Termination, Asset Impairment and Other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Realignment </w:t>
      </w:r>
    </w:p>
    <w:p>
      <w:pPr>
        <w:pStyle w:val="TextBody"/>
        <w:bidi w:val="0"/>
        <w:spacing w:before="120" w:after="0"/>
        <w:jc w:val="left"/>
        <w:rPr>
          <w:rFonts w:ascii="Times New Roman" w:hAnsi="Times New Roman"/>
          <w:sz w:val="20"/>
        </w:rPr>
      </w:pPr>
      <w:r>
        <w:rPr>
          <w:rFonts w:ascii="Times New Roman" w:hAnsi="Times New Roman"/>
          <w:sz w:val="20"/>
        </w:rPr>
        <w:t xml:space="preserve">The Business periodically incurs charges to realign its operations with anticipated market demand, primarily consisting of organization rationalization designed to streamline its business, reduce its cost structure and focus its resources. The Business may also record credits related to gains upon the sale of property in connection with these activities. The Business recognized a loss of $5 million related to asset impairment and other charges and a gain of $60 million related to the sale and leaseback of the Milpitas facility for the fiscal year ended June 28, 2024, a loss of $1 million on the disposal of assets associated with these activities for the fiscal year ended June 30, 2023, and a gain of $9 million related to business divestitures partially offset by a $3 million loss on the disposal of assets associated with these activities for the fiscal year ended July 1, 2022. </w:t>
      </w:r>
    </w:p>
    <w:p>
      <w:pPr>
        <w:pStyle w:val="TextBody"/>
        <w:bidi w:val="0"/>
        <w:spacing w:before="240" w:after="0"/>
        <w:jc w:val="left"/>
        <w:rPr>
          <w:rFonts w:ascii="Times New Roman" w:hAnsi="Times New Roman"/>
          <w:sz w:val="20"/>
        </w:rPr>
      </w:pPr>
      <w:r>
        <w:rPr>
          <w:rFonts w:ascii="Times New Roman" w:hAnsi="Times New Roman"/>
          <w:sz w:val="20"/>
        </w:rPr>
        <w:t xml:space="preserve">The Business recorded the following charges related to these actions: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509"/>
        <w:gridCol w:w="390"/>
        <w:gridCol w:w="147"/>
        <w:gridCol w:w="357"/>
        <w:gridCol w:w="155"/>
        <w:gridCol w:w="390"/>
        <w:gridCol w:w="175"/>
        <w:gridCol w:w="333"/>
        <w:gridCol w:w="60"/>
        <w:gridCol w:w="390"/>
        <w:gridCol w:w="175"/>
        <w:gridCol w:w="333"/>
        <w:gridCol w:w="158"/>
      </w:tblGrid>
      <w:tr>
        <w:trPr/>
        <w:tc>
          <w:tcPr>
            <w:tcW w:w="5509"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09"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5509"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2515" w:type="dxa"/>
            <w:gridSpan w:val="10"/>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benefits</w:t>
            </w:r>
          </w:p>
        </w:tc>
        <w:tc>
          <w:tcPr>
            <w:tcW w:w="39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68</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22</w:t>
            </w:r>
          </w:p>
        </w:tc>
        <w:tc>
          <w:tcPr>
            <w:tcW w:w="158" w:type="dxa"/>
            <w:tcBorders/>
            <w:shd w:fill="CCEEFF" w:val="clear"/>
            <w:vAlign w:val="bottom"/>
          </w:tcPr>
          <w:p>
            <w:pPr>
              <w:pStyle w:val="TableContents"/>
              <w:bidi w:val="0"/>
              <w:spacing w:before="0" w:after="283"/>
              <w:jc w:val="left"/>
              <w:rPr/>
            </w:pPr>
            <w:r>
              <w:rPr/>
              <w:t> </w:t>
            </w:r>
          </w:p>
        </w:tc>
      </w:tr>
      <w:tr>
        <w:trPr/>
        <w:tc>
          <w:tcPr>
            <w:tcW w:w="5509" w:type="dxa"/>
            <w:tcBorders/>
          </w:tcPr>
          <w:p>
            <w:pPr>
              <w:pStyle w:val="TableContents"/>
              <w:bidi w:val="0"/>
              <w:spacing w:before="0" w:after="0"/>
              <w:jc w:val="left"/>
              <w:rPr>
                <w:rFonts w:ascii="Times New Roman" w:hAnsi="Times New Roman"/>
                <w:sz w:val="20"/>
              </w:rPr>
            </w:pPr>
            <w:r>
              <w:rPr>
                <w:rFonts w:ascii="Times New Roman" w:hAnsi="Times New Roman"/>
                <w:sz w:val="20"/>
              </w:rPr>
              <w:t>Other charges (gains):</w:t>
            </w:r>
          </w:p>
        </w:tc>
        <w:tc>
          <w:tcPr>
            <w:tcW w:w="39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impairments and other charges (gains)</w:t>
            </w:r>
          </w:p>
        </w:tc>
        <w:tc>
          <w:tcPr>
            <w:tcW w:w="39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5509"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sale-leaseback of facility (see Note 10)</w:t>
            </w:r>
          </w:p>
        </w:tc>
        <w:tc>
          <w:tcPr>
            <w:tcW w:w="39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5509"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employee termination, asset impairment and other</w:t>
            </w:r>
          </w:p>
        </w:tc>
        <w:tc>
          <w:tcPr>
            <w:tcW w:w="39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16</w:t>
            </w:r>
          </w:p>
        </w:tc>
        <w:tc>
          <w:tcPr>
            <w:tcW w:w="158" w:type="dxa"/>
            <w:tcBorders/>
            <w:shd w:fill="CCEEFF" w:val="clear"/>
            <w:vAlign w:val="bottom"/>
          </w:tcPr>
          <w:p>
            <w:pPr>
              <w:pStyle w:val="TableContents"/>
              <w:bidi w:val="0"/>
              <w:spacing w:before="0" w:after="283"/>
              <w:jc w:val="left"/>
              <w:rPr/>
            </w:pPr>
            <w:r>
              <w:rPr/>
              <w:t> </w:t>
            </w:r>
          </w:p>
        </w:tc>
      </w:tr>
      <w:tr>
        <w:trPr/>
        <w:tc>
          <w:tcPr>
            <w:tcW w:w="5509"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3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an analysis of the components of the activity against the reserve, which consisted entirely of employee termination benefits, during the year ended June 28,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0"/>
        <w:gridCol w:w="834"/>
        <w:gridCol w:w="390"/>
        <w:gridCol w:w="917"/>
        <w:gridCol w:w="158"/>
      </w:tblGrid>
      <w:tr>
        <w:trPr/>
        <w:tc>
          <w:tcPr>
            <w:tcW w:w="4640" w:type="dxa"/>
            <w:tcBorders/>
            <w:vAlign w:val="center"/>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Employee</w:t>
              <w:br/>
              <w:t>Termination</w:t>
              <w:br/>
              <w:t>Benefits</w:t>
            </w:r>
          </w:p>
        </w:tc>
        <w:tc>
          <w:tcPr>
            <w:tcW w:w="158"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 balance at June 30, 2023</w:t>
            </w:r>
          </w:p>
        </w:tc>
        <w:tc>
          <w:tcPr>
            <w:tcW w:w="834"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Charges</w:t>
            </w:r>
          </w:p>
        </w:tc>
        <w:tc>
          <w:tcPr>
            <w:tcW w:w="834"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payments</w:t>
            </w:r>
          </w:p>
        </w:tc>
        <w:tc>
          <w:tcPr>
            <w:tcW w:w="834"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(18</w:t>
            </w:r>
          </w:p>
        </w:tc>
        <w:tc>
          <w:tcPr>
            <w:tcW w:w="158"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Accrual balance at June 28, 2024</w:t>
            </w:r>
          </w:p>
        </w:tc>
        <w:tc>
          <w:tcPr>
            <w:tcW w:w="834"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pPr>
            <w:r>
              <w:rPr/>
              <w:t>  </w:t>
            </w:r>
          </w:p>
        </w:tc>
        <w:tc>
          <w:tcPr>
            <w:tcW w:w="390" w:type="dxa"/>
            <w:tcBorders/>
            <w:vAlign w:val="bottom"/>
          </w:tcPr>
          <w:p>
            <w:pPr>
              <w:pStyle w:val="TableContents"/>
              <w:pBdr>
                <w:top w:val="double" w:sz="6" w:space="1" w:color="000000"/>
              </w:pBdr>
              <w:bidi w:val="0"/>
              <w:spacing w:before="0" w:after="0"/>
              <w:jc w:val="left"/>
              <w:rPr/>
            </w:pPr>
            <w:r>
              <w:rPr/>
              <w:t> </w:t>
            </w:r>
          </w:p>
        </w:tc>
        <w:tc>
          <w:tcPr>
            <w:tcW w:w="91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14. Legal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Business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Business from these matters, individually and in the aggregate, would not be material to the Businesss financial condition, results of operations or cash flows. However, any monetary liability and financial impact to the Business from these matters could differ materially from the Businesss expectations.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15. Summarized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4-08(g) of Regulation S-X under the Securities Act, the Business presents summarized financial information for the combined accounts of its non-consolidated joint ventures, which are accounted for using the equity method. This includes the portions attributable to both the Business and Kioxia. Flash Ventures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Flash Business of Western Digital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COMBINED FINANCIAL STATEMENTS 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has a fiscal year-end of March 31. The Summarized Financial Information below shows the financial position and results of operations for Flash Ventures on a three-month lag. </w:t>
      </w:r>
    </w:p>
    <w:p>
      <w:pPr>
        <w:pStyle w:val="TextBody"/>
        <w:bidi w:val="0"/>
        <w:spacing w:before="240" w:after="0"/>
        <w:jc w:val="left"/>
        <w:rPr>
          <w:rFonts w:ascii="Times New Roman" w:hAnsi="Times New Roman"/>
          <w:sz w:val="20"/>
        </w:rPr>
      </w:pPr>
      <w:r>
        <w:rPr>
          <w:rFonts w:ascii="Times New Roman" w:hAnsi="Times New Roman"/>
          <w:sz w:val="20"/>
        </w:rPr>
        <w:t xml:space="preserve">Summarized financial information for equity method investments in Flash Ventures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12"/>
        <w:gridCol w:w="424"/>
        <w:gridCol w:w="177"/>
        <w:gridCol w:w="709"/>
        <w:gridCol w:w="60"/>
        <w:gridCol w:w="424"/>
        <w:gridCol w:w="177"/>
        <w:gridCol w:w="709"/>
        <w:gridCol w:w="63"/>
      </w:tblGrid>
      <w:tr>
        <w:trPr/>
        <w:tc>
          <w:tcPr>
            <w:tcW w:w="5012"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1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3"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256" w:type="dxa"/>
            <w:gridSpan w:val="6"/>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777</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666</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5,783</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7,585</w:t>
            </w:r>
          </w:p>
        </w:tc>
        <w:tc>
          <w:tcPr>
            <w:tcW w:w="63"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6,560</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8,251</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2,225</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2,716</w:t>
            </w:r>
          </w:p>
        </w:tc>
        <w:tc>
          <w:tcPr>
            <w:tcW w:w="63"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3,312</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4,297</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5,537</w:t>
            </w:r>
          </w:p>
        </w:tc>
        <w:tc>
          <w:tcPr>
            <w:tcW w:w="6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7,013</w:t>
            </w:r>
          </w:p>
        </w:tc>
        <w:tc>
          <w:tcPr>
            <w:tcW w:w="63"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equity of investees</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1,023</w:t>
            </w:r>
          </w:p>
        </w:tc>
        <w:tc>
          <w:tcPr>
            <w:tcW w:w="6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1,238</w:t>
            </w:r>
          </w:p>
        </w:tc>
        <w:tc>
          <w:tcPr>
            <w:tcW w:w="63" w:type="dxa"/>
            <w:tcBorders/>
            <w:shd w:fill="CCEEFF" w:val="clear"/>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70"/>
        <w:gridCol w:w="330"/>
        <w:gridCol w:w="181"/>
        <w:gridCol w:w="725"/>
        <w:gridCol w:w="167"/>
        <w:gridCol w:w="330"/>
        <w:gridCol w:w="181"/>
        <w:gridCol w:w="725"/>
        <w:gridCol w:w="60"/>
        <w:gridCol w:w="330"/>
        <w:gridCol w:w="140"/>
        <w:gridCol w:w="567"/>
        <w:gridCol w:w="66"/>
      </w:tblGrid>
      <w:tr>
        <w:trPr/>
        <w:tc>
          <w:tcPr>
            <w:tcW w:w="477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7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6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1,</w:t>
              <w:br/>
              <w:t>2022</w:t>
            </w:r>
          </w:p>
        </w:tc>
        <w:tc>
          <w:tcPr>
            <w:tcW w:w="66" w:type="dxa"/>
            <w:tcBorders/>
            <w:vAlign w:val="bottom"/>
          </w:tcPr>
          <w:p>
            <w:pPr>
              <w:pStyle w:val="TableContents"/>
              <w:bidi w:val="0"/>
              <w:spacing w:before="0" w:after="283"/>
              <w:jc w:val="left"/>
              <w:rPr/>
            </w:pPr>
            <w:r>
              <w:rPr/>
              <w:t> </w:t>
            </w:r>
          </w:p>
        </w:tc>
      </w:tr>
      <w:tr>
        <w:trPr/>
        <w:tc>
          <w:tcPr>
            <w:tcW w:w="477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3406" w:type="dxa"/>
            <w:gridSpan w:val="10"/>
            <w:tcBorders/>
            <w:vAlign w:val="bottom"/>
          </w:tcPr>
          <w:p>
            <w:pPr>
              <w:pStyle w:val="TableContents"/>
              <w:bidi w:val="0"/>
              <w:spacing w:before="0" w:after="283"/>
              <w:jc w:val="center"/>
              <w:rPr>
                <w:i/>
              </w:rPr>
            </w:pPr>
            <w:r>
              <w:rPr>
                <w:i/>
              </w:rPr>
              <w:t>(in millions)</w:t>
            </w:r>
          </w:p>
        </w:tc>
        <w:tc>
          <w:tcPr>
            <w:tcW w:w="66" w:type="dxa"/>
            <w:tcBorders/>
            <w:vAlign w:val="bottom"/>
          </w:tcPr>
          <w:p>
            <w:pPr>
              <w:pStyle w:val="TableContents"/>
              <w:bidi w:val="0"/>
              <w:spacing w:before="0" w:after="283"/>
              <w:jc w:val="left"/>
              <w:rPr/>
            </w:pPr>
            <w:r>
              <w:rPr/>
              <w:t> </w:t>
            </w:r>
          </w:p>
        </w:tc>
      </w:tr>
      <w:tr>
        <w:trPr/>
        <w:tc>
          <w:tcPr>
            <w:tcW w:w="4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2,252</w:t>
            </w:r>
          </w:p>
        </w:tc>
        <w:tc>
          <w:tcPr>
            <w:tcW w:w="16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2,788</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3,368</w:t>
            </w:r>
          </w:p>
        </w:tc>
        <w:tc>
          <w:tcPr>
            <w:tcW w:w="66" w:type="dxa"/>
            <w:tcBorders/>
            <w:shd w:fill="CCEEFF" w:val="clear"/>
            <w:vAlign w:val="bottom"/>
          </w:tcPr>
          <w:p>
            <w:pPr>
              <w:pStyle w:val="TableContents"/>
              <w:bidi w:val="0"/>
              <w:spacing w:before="0" w:after="283"/>
              <w:jc w:val="left"/>
              <w:rPr/>
            </w:pPr>
            <w:r>
              <w:rPr/>
              <w:t> </w:t>
            </w:r>
          </w:p>
        </w:tc>
      </w:tr>
      <w:tr>
        <w:trPr/>
        <w:tc>
          <w:tcPr>
            <w:tcW w:w="4770"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 (loss)</w:t>
            </w:r>
          </w:p>
        </w:tc>
        <w:tc>
          <w:tcPr>
            <w:tcW w:w="3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(51</w:t>
            </w:r>
          </w:p>
        </w:tc>
        <w:tc>
          <w:tcPr>
            <w:tcW w:w="16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240</w:t>
            </w:r>
          </w:p>
        </w:tc>
        <w:tc>
          <w:tcPr>
            <w:tcW w:w="66" w:type="dxa"/>
            <w:tcBorders/>
            <w:vAlign w:val="bottom"/>
          </w:tcPr>
          <w:p>
            <w:pPr>
              <w:pStyle w:val="TableContents"/>
              <w:bidi w:val="0"/>
              <w:spacing w:before="0" w:after="283"/>
              <w:jc w:val="left"/>
              <w:rPr/>
            </w:pPr>
            <w:r>
              <w:rPr/>
              <w:t> </w:t>
            </w:r>
          </w:p>
        </w:tc>
      </w:tr>
      <w:tr>
        <w:trPr/>
        <w:tc>
          <w:tcPr>
            <w:tcW w:w="4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(9</w:t>
            </w:r>
          </w:p>
        </w:tc>
        <w:tc>
          <w:tcPr>
            <w:tcW w:w="16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102</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16. Subsequent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We have evaluated subsequent events after the balance sheet date of June 28, 2024, through October 11, 2024, which was the date these Combined Financial Statements were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2024, SanDisk China closed on the Transaction to sell 80% of its equity interest in SDSS to JCET. Proceeds net from the sale are expected to be approximately $624 million, subject to certain working capital adjustments and payment of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bookmarkStart w:id="35" w:name="fin934557_8"/>
      <w:bookmarkEnd w:id="35"/>
      <w:r>
        <w:rPr>
          <w:rFonts w:ascii="Times New Roman" w:hAnsi="Times New Roman"/>
          <w:b/>
          <w:sz w:val="20"/>
        </w:rPr>
        <w:t xml:space="preserve">CONDENSED COMBINED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4"/>
        <w:gridCol w:w="382"/>
        <w:gridCol w:w="243"/>
        <w:gridCol w:w="1199"/>
        <w:gridCol w:w="155"/>
        <w:gridCol w:w="340"/>
        <w:gridCol w:w="149"/>
        <w:gridCol w:w="734"/>
        <w:gridCol w:w="159"/>
      </w:tblGrid>
      <w:tr>
        <w:trPr/>
        <w:tc>
          <w:tcPr>
            <w:tcW w:w="6844"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44"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9" w:type="dxa"/>
            <w:tcBorders/>
            <w:vAlign w:val="bottom"/>
          </w:tcPr>
          <w:p>
            <w:pPr>
              <w:pStyle w:val="TableContents"/>
              <w:bidi w:val="0"/>
              <w:spacing w:before="0" w:after="283"/>
              <w:jc w:val="left"/>
              <w:rPr/>
            </w:pPr>
            <w:r>
              <w:rPr/>
              <w:t> </w:t>
            </w:r>
          </w:p>
        </w:tc>
      </w:tr>
      <w:tr>
        <w:trPr/>
        <w:tc>
          <w:tcPr>
            <w:tcW w:w="10046" w:type="dxa"/>
            <w:gridSpan w:val="8"/>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ASSETS</w:t>
            </w:r>
          </w:p>
        </w:tc>
        <w:tc>
          <w:tcPr>
            <w:tcW w:w="159" w:type="dxa"/>
            <w:tcBorders/>
            <w:shd w:fill="CCEEFF" w:val="clear"/>
          </w:tcPr>
          <w:p>
            <w:pPr>
              <w:pStyle w:val="TableContents"/>
              <w:bidi w:val="0"/>
              <w:spacing w:before="0" w:after="0"/>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328</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904</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935</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2,172</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1,955</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7</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568</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221</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Notes due from Parent</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102</w:t>
            </w:r>
          </w:p>
        </w:tc>
        <w:tc>
          <w:tcPr>
            <w:tcW w:w="159" w:type="dxa"/>
            <w:tcBorders/>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4,456</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3,548</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579</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791</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and investments in Flash Ventures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871</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1,001</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6,825</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7,207</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96</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 non-current</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1,394</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852</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14,234</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13,506</w:t>
            </w:r>
          </w:p>
        </w:tc>
        <w:tc>
          <w:tcPr>
            <w:tcW w:w="159" w:type="dxa"/>
            <w:tcBorders/>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0046" w:type="dxa"/>
            <w:gridSpan w:val="8"/>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LIABILITIES AND EQUITY</w:t>
            </w:r>
          </w:p>
        </w:tc>
        <w:tc>
          <w:tcPr>
            <w:tcW w:w="159" w:type="dxa"/>
            <w:tcBorders/>
            <w:shd w:fill="CCEEFF" w:val="clear"/>
          </w:tcPr>
          <w:p>
            <w:pPr>
              <w:pStyle w:val="TableContents"/>
              <w:bidi w:val="0"/>
              <w:spacing w:before="0" w:after="0"/>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320</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357</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to related parties</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369</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313</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438</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424</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188</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195</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20</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Notes due to Parent</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553</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814</w:t>
            </w:r>
          </w:p>
        </w:tc>
        <w:tc>
          <w:tcPr>
            <w:tcW w:w="159" w:type="dxa"/>
            <w:tcBorders/>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1,873</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2,123</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15</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307</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286</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2,233</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2,424</w:t>
            </w:r>
          </w:p>
        </w:tc>
        <w:tc>
          <w:tcPr>
            <w:tcW w:w="159" w:type="dxa"/>
            <w:tcBorders/>
            <w:vAlign w:val="bottom"/>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(Notes 9, 10, 12 and 14)</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company net investment</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12,435</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11,534</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(434</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(452</w:t>
            </w:r>
          </w:p>
        </w:tc>
        <w:tc>
          <w:tcPr>
            <w:tcW w:w="159" w:type="dxa"/>
            <w:tcBorders/>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Parent company net investment</w:t>
            </w:r>
          </w:p>
        </w:tc>
        <w:tc>
          <w:tcPr>
            <w:tcW w:w="382"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12,001</w:t>
            </w:r>
          </w:p>
        </w:tc>
        <w:tc>
          <w:tcPr>
            <w:tcW w:w="155"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11,082</w:t>
            </w:r>
          </w:p>
        </w:tc>
        <w:tc>
          <w:tcPr>
            <w:tcW w:w="159" w:type="dxa"/>
            <w:tcBorders/>
            <w:shd w:fill="CCEEFF" w:val="clear"/>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4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Parent company net investment</w:t>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14,234</w:t>
            </w:r>
          </w:p>
        </w:tc>
        <w:tc>
          <w:tcPr>
            <w:tcW w:w="15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13,506</w:t>
            </w:r>
          </w:p>
        </w:tc>
        <w:tc>
          <w:tcPr>
            <w:tcW w:w="159" w:type="dxa"/>
            <w:tcBorders/>
            <w:vAlign w:val="bottom"/>
          </w:tcPr>
          <w:p>
            <w:pPr>
              <w:pStyle w:val="TableContents"/>
              <w:bidi w:val="0"/>
              <w:spacing w:before="0" w:after="283"/>
              <w:jc w:val="left"/>
              <w:rPr/>
            </w:pPr>
            <w:r>
              <w:rPr/>
              <w:t> </w:t>
            </w:r>
          </w:p>
        </w:tc>
      </w:tr>
      <w:tr>
        <w:trPr/>
        <w:tc>
          <w:tcPr>
            <w:tcW w:w="6844"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bookmarkStart w:id="36" w:name="fin934557_9"/>
      <w:bookmarkEnd w:id="36"/>
      <w:r>
        <w:rPr>
          <w:rFonts w:ascii="Times New Roman" w:hAnsi="Times New Roman"/>
          <w:b/>
          <w:sz w:val="20"/>
        </w:rPr>
        <w:t xml:space="preserve">CONDENSED COMBINED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97"/>
        <w:gridCol w:w="493"/>
        <w:gridCol w:w="283"/>
        <w:gridCol w:w="1147"/>
        <w:gridCol w:w="155"/>
        <w:gridCol w:w="442"/>
        <w:gridCol w:w="283"/>
        <w:gridCol w:w="1147"/>
        <w:gridCol w:w="158"/>
      </w:tblGrid>
      <w:tr>
        <w:trPr/>
        <w:tc>
          <w:tcPr>
            <w:tcW w:w="6097"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97"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34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8"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8" w:type="dxa"/>
            <w:tcBorders/>
            <w:vAlign w:val="bottom"/>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net</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3,759</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3,198</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2,427</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3,225</w:t>
            </w:r>
          </w:p>
        </w:tc>
        <w:tc>
          <w:tcPr>
            <w:tcW w:w="158"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(loss)</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1,332</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562</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486</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272</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231</w:t>
            </w:r>
          </w:p>
        </w:tc>
        <w:tc>
          <w:tcPr>
            <w:tcW w:w="158" w:type="dxa"/>
            <w:tcBorders/>
            <w:vAlign w:val="bottom"/>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34</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Employee termination and other</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(46</w:t>
            </w:r>
          </w:p>
        </w:tc>
        <w:tc>
          <w:tcPr>
            <w:tcW w:w="158" w:type="dxa"/>
            <w:tcBorders/>
            <w:vAlign w:val="bottom"/>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business divestiture</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846</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705</w:t>
            </w:r>
          </w:p>
        </w:tc>
        <w:tc>
          <w:tcPr>
            <w:tcW w:w="158"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486</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(732</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4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and other expense, net</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440</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(754</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65</w:t>
            </w:r>
          </w:p>
        </w:tc>
        <w:tc>
          <w:tcPr>
            <w:tcW w:w="158" w:type="dxa"/>
            <w:tcBorders/>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4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(819</w:t>
            </w:r>
          </w:p>
        </w:tc>
        <w:tc>
          <w:tcPr>
            <w:tcW w:w="158" w:type="dxa"/>
            <w:tcBorders/>
            <w:shd w:fill="CCEEFF" w:val="clear"/>
            <w:vAlign w:val="bottom"/>
          </w:tcPr>
          <w:p>
            <w:pPr>
              <w:pStyle w:val="TableContents"/>
              <w:bidi w:val="0"/>
              <w:spacing w:before="0" w:after="283"/>
              <w:jc w:val="left"/>
              <w:rPr/>
            </w:pPr>
            <w:r>
              <w:rPr/>
              <w:t>) </w:t>
            </w:r>
          </w:p>
        </w:tc>
      </w:tr>
      <w:tr>
        <w:trPr/>
        <w:tc>
          <w:tcPr>
            <w:tcW w:w="6097"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bookmarkStart w:id="37" w:name="fin934557_10"/>
      <w:bookmarkEnd w:id="37"/>
      <w:r>
        <w:rPr>
          <w:rFonts w:ascii="Times New Roman" w:hAnsi="Times New Roman"/>
          <w:b/>
          <w:sz w:val="20"/>
        </w:rPr>
        <w:t xml:space="preserve">CONDENSED COMBINED STATEMENTS OF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92"/>
        <w:gridCol w:w="603"/>
        <w:gridCol w:w="380"/>
        <w:gridCol w:w="1046"/>
        <w:gridCol w:w="155"/>
        <w:gridCol w:w="550"/>
        <w:gridCol w:w="332"/>
        <w:gridCol w:w="1089"/>
        <w:gridCol w:w="158"/>
      </w:tblGrid>
      <w:tr>
        <w:trPr/>
        <w:tc>
          <w:tcPr>
            <w:tcW w:w="5892" w:type="dxa"/>
            <w:tcBorders/>
            <w:vAlign w:val="center"/>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9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35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8" w:type="dxa"/>
            <w:tcBorders/>
            <w:vAlign w:val="bottom"/>
          </w:tcPr>
          <w:p>
            <w:pPr>
              <w:pStyle w:val="TableContents"/>
              <w:bidi w:val="0"/>
              <w:spacing w:before="0" w:after="283"/>
              <w:jc w:val="left"/>
              <w:rPr/>
            </w:pPr>
            <w:r>
              <w:rPr/>
              <w:t> </w:t>
            </w:r>
          </w:p>
        </w:tc>
      </w:tr>
      <w:tr>
        <w:trPr/>
        <w:tc>
          <w:tcPr>
            <w:tcW w:w="589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8" w:type="dxa"/>
            <w:tcBorders/>
            <w:vAlign w:val="bottom"/>
          </w:tcPr>
          <w:p>
            <w:pPr>
              <w:pStyle w:val="TableContents"/>
              <w:bidi w:val="0"/>
              <w:spacing w:before="0" w:after="283"/>
              <w:jc w:val="left"/>
              <w:rPr/>
            </w:pPr>
            <w:r>
              <w:rPr/>
              <w:t> </w:t>
            </w:r>
          </w:p>
        </w:tc>
      </w:tr>
      <w:tr>
        <w:trPr/>
        <w:tc>
          <w:tcPr>
            <w:tcW w:w="5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60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6"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89" w:type="dxa"/>
            <w:tcBorders/>
            <w:shd w:fill="CCEEFF" w:val="clear"/>
            <w:vAlign w:val="bottom"/>
          </w:tcPr>
          <w:p>
            <w:pPr>
              <w:pStyle w:val="TableContents"/>
              <w:bidi w:val="0"/>
              <w:spacing w:before="0" w:after="283"/>
              <w:jc w:val="right"/>
              <w:rPr/>
            </w:pPr>
            <w:r>
              <w:rPr/>
              <w:t>(819</w:t>
            </w:r>
          </w:p>
        </w:tc>
        <w:tc>
          <w:tcPr>
            <w:tcW w:w="158" w:type="dxa"/>
            <w:tcBorders/>
            <w:shd w:fill="CCEEFF" w:val="clear"/>
            <w:vAlign w:val="bottom"/>
          </w:tcPr>
          <w:p>
            <w:pPr>
              <w:pStyle w:val="TableContents"/>
              <w:bidi w:val="0"/>
              <w:spacing w:before="0" w:after="283"/>
              <w:jc w:val="left"/>
              <w:rPr/>
            </w:pPr>
            <w:r>
              <w:rPr/>
              <w:t>) </w:t>
            </w:r>
          </w:p>
        </w:tc>
      </w:tr>
      <w:tr>
        <w:trPr/>
        <w:tc>
          <w:tcPr>
            <w:tcW w:w="589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tax:</w:t>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60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5892"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gain (loss) on derivative contracts</w:t>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5892"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 before tax</w:t>
            </w:r>
          </w:p>
        </w:tc>
        <w:tc>
          <w:tcPr>
            <w:tcW w:w="60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33</w:t>
            </w:r>
          </w:p>
        </w:tc>
        <w:tc>
          <w:tcPr>
            <w:tcW w:w="158" w:type="dxa"/>
            <w:tcBorders/>
            <w:shd w:fill="CCEEFF" w:val="clear"/>
            <w:vAlign w:val="bottom"/>
          </w:tcPr>
          <w:p>
            <w:pPr>
              <w:pStyle w:val="TableContents"/>
              <w:bidi w:val="0"/>
              <w:spacing w:before="0" w:after="283"/>
              <w:jc w:val="left"/>
              <w:rPr/>
            </w:pPr>
            <w:r>
              <w:rPr/>
              <w:t> </w:t>
            </w:r>
          </w:p>
        </w:tc>
      </w:tr>
      <w:tr>
        <w:trPr/>
        <w:tc>
          <w:tcPr>
            <w:tcW w:w="589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 related to items of other comprehensive income (loss), before tax</w:t>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5892"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tax</w:t>
            </w:r>
          </w:p>
        </w:tc>
        <w:tc>
          <w:tcPr>
            <w:tcW w:w="603"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28</w:t>
            </w:r>
          </w:p>
        </w:tc>
        <w:tc>
          <w:tcPr>
            <w:tcW w:w="158" w:type="dxa"/>
            <w:tcBorders/>
            <w:shd w:fill="CCEEFF" w:val="clear"/>
            <w:vAlign w:val="bottom"/>
          </w:tcPr>
          <w:p>
            <w:pPr>
              <w:pStyle w:val="TableContents"/>
              <w:bidi w:val="0"/>
              <w:spacing w:before="0" w:after="283"/>
              <w:jc w:val="left"/>
              <w:rPr/>
            </w:pPr>
            <w:r>
              <w:rPr/>
              <w:t> </w:t>
            </w:r>
          </w:p>
        </w:tc>
      </w:tr>
      <w:tr>
        <w:trPr/>
        <w:tc>
          <w:tcPr>
            <w:tcW w:w="5892"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892"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w:t>
            </w:r>
          </w:p>
        </w:tc>
        <w:tc>
          <w:tcPr>
            <w:tcW w:w="1046" w:type="dxa"/>
            <w:tcBorders/>
            <w:vAlign w:val="bottom"/>
          </w:tcPr>
          <w:p>
            <w:pPr>
              <w:pStyle w:val="TableContents"/>
              <w:bidi w:val="0"/>
              <w:spacing w:before="0" w:after="283"/>
              <w:jc w:val="right"/>
              <w:rPr/>
            </w:pPr>
            <w:r>
              <w:rPr/>
              <w:t>339</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(791</w:t>
            </w:r>
          </w:p>
        </w:tc>
        <w:tc>
          <w:tcPr>
            <w:tcW w:w="158" w:type="dxa"/>
            <w:tcBorders/>
            <w:vAlign w:val="bottom"/>
          </w:tcPr>
          <w:p>
            <w:pPr>
              <w:pStyle w:val="TableContents"/>
              <w:bidi w:val="0"/>
              <w:spacing w:before="0" w:after="283"/>
              <w:jc w:val="left"/>
              <w:rPr/>
            </w:pPr>
            <w:r>
              <w:rPr/>
              <w:t>) </w:t>
            </w:r>
          </w:p>
        </w:tc>
      </w:tr>
      <w:tr>
        <w:trPr/>
        <w:tc>
          <w:tcPr>
            <w:tcW w:w="5892"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bookmarkStart w:id="38" w:name="fin934557_11"/>
      <w:bookmarkEnd w:id="38"/>
      <w:r>
        <w:rPr>
          <w:rFonts w:ascii="Times New Roman" w:hAnsi="Times New Roman"/>
          <w:b/>
          <w:sz w:val="20"/>
        </w:rPr>
        <w:t xml:space="preserve">CONDENSED COMBINED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49"/>
        <w:gridCol w:w="443"/>
        <w:gridCol w:w="332"/>
        <w:gridCol w:w="1097"/>
        <w:gridCol w:w="155"/>
        <w:gridCol w:w="443"/>
        <w:gridCol w:w="332"/>
        <w:gridCol w:w="1097"/>
        <w:gridCol w:w="157"/>
      </w:tblGrid>
      <w:tr>
        <w:trPr/>
        <w:tc>
          <w:tcPr>
            <w:tcW w:w="6149"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9"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4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7" w:type="dxa"/>
            <w:tcBorders/>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Net income (loss)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315</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(819</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income (loss) to net cash used in operations: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114</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77</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taxes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disposal of assets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(60</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Non-cash portion of impairment of cost method investments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Unrealized foreign exchange (gain) loss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26</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Gain on business divestiture</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loss in investees, net of dividends received</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Other non-cash operating activities, net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41</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Settlement of accrued interest on Notes due to Parent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Changes in:</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(145</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657</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100</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 to related parties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(42</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(90</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Accrued compensation</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7</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assets and liabilities, net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(288</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(38</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operating activities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(167</w:t>
            </w:r>
          </w:p>
        </w:tc>
        <w:tc>
          <w:tcPr>
            <w:tcW w:w="157" w:type="dxa"/>
            <w:tcBorders/>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Purchases of property, plant and equipment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(99</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the sale of property, plant and equipment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134</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dispositions of business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Notes receivable issuances to Flash Ventures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(184</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Notes receivable proceeds from Flash Ventures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263</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Distributions from Flash Ventures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Strategic investments and other, net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w:t>
            </w:r>
          </w:p>
        </w:tc>
        <w:tc>
          <w:tcPr>
            <w:tcW w:w="157" w:type="dxa"/>
            <w:tcBorders/>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provided by investing activities</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113</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borrowings on Notes due to Parent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550</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principal repayments on Notes due from Parent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Repayments of principal on Notes due to Parent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(14</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Transfers from (to) Parent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(231</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274</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Origination of Notes due from Parent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(74</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Net cash provided by financing activities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344</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186</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Effect of exchange rate changes on cash</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Net increase in cash and cash equivalents</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476</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133</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beginning of year</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328</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292</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b/>
                <w:sz w:val="18"/>
              </w:rPr>
            </w:pPr>
            <w:r>
              <w:rPr>
                <w:rFonts w:ascii="Times New Roman" w:hAnsi="Times New Roman"/>
                <w:b/>
                <w:sz w:val="18"/>
              </w:rPr>
              <w:t>Cash and cash equivalents, end of period</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804</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425</w:t>
            </w:r>
          </w:p>
        </w:tc>
        <w:tc>
          <w:tcPr>
            <w:tcW w:w="157" w:type="dxa"/>
            <w:tcBorders/>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Supplemental disclosure of cash flow information:</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Cash paid for interest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6</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received for interest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7</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Non-cash transfers of Notes due to Parent transferred from Parent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transfers of other assets and liabilities, net, from Parent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Non-cash transfers of property, plant and equipment from Parent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transfers of strategic investments from Parent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Non-cash transfers of liability for unrecognized tax benefits transferred from Parent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transfers of deferred taxes from Parent</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8</w:t>
            </w:r>
          </w:p>
        </w:tc>
        <w:tc>
          <w:tcPr>
            <w:tcW w:w="157"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Times New Roman" w:hAnsi="Times New Roman"/>
                <w:sz w:val="18"/>
              </w:rPr>
            </w:pPr>
            <w:r>
              <w:rPr>
                <w:rFonts w:ascii="Times New Roman" w:hAnsi="Times New Roman"/>
                <w:sz w:val="18"/>
              </w:rPr>
              <w:t>Non-cash transfers of Notes due from Parent transferred to Parent</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(113</w:t>
            </w:r>
          </w:p>
        </w:tc>
        <w:tc>
          <w:tcPr>
            <w:tcW w:w="157" w:type="dxa"/>
            <w:tcBorders/>
            <w:vAlign w:val="bottom"/>
          </w:tcPr>
          <w:p>
            <w:pPr>
              <w:pStyle w:val="TableContents"/>
              <w:bidi w:val="0"/>
              <w:spacing w:before="0" w:after="283"/>
              <w:jc w:val="left"/>
              <w:rPr/>
            </w:pPr>
            <w:r>
              <w:rPr/>
              <w:t>) </w:t>
            </w:r>
          </w:p>
        </w:tc>
      </w:tr>
    </w:tbl>
    <w:p>
      <w:pPr>
        <w:pStyle w:val="TextBody"/>
        <w:bidi w:val="0"/>
        <w:spacing w:before="200" w:after="0"/>
        <w:jc w:val="center"/>
        <w:rPr>
          <w:rFonts w:ascii="Times New Roman" w:hAnsi="Times New Roman"/>
          <w:sz w:val="20"/>
        </w:rPr>
      </w:pPr>
      <w:r>
        <w:rPr>
          <w:rFonts w:ascii="Times New Roman" w:hAnsi="Times New Roman"/>
          <w:sz w:val="20"/>
        </w:rPr>
        <w:t xml:space="preserve">The accompanying notes are an integral part of these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bookmarkStart w:id="39" w:name="fin934557_12"/>
      <w:bookmarkEnd w:id="39"/>
      <w:r>
        <w:rPr>
          <w:rFonts w:ascii="Times New Roman" w:hAnsi="Times New Roman"/>
          <w:b/>
          <w:sz w:val="20"/>
        </w:rPr>
        <w:t xml:space="preserve">CONDENSED COMBINED STATEMENTS OF CHANGES IN PARENT COMPANY NET INVESTMENT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7"/>
        <w:gridCol w:w="403"/>
        <w:gridCol w:w="303"/>
        <w:gridCol w:w="1519"/>
        <w:gridCol w:w="155"/>
        <w:gridCol w:w="348"/>
        <w:gridCol w:w="502"/>
        <w:gridCol w:w="1708"/>
        <w:gridCol w:w="155"/>
        <w:gridCol w:w="348"/>
        <w:gridCol w:w="140"/>
        <w:gridCol w:w="708"/>
        <w:gridCol w:w="159"/>
      </w:tblGrid>
      <w:tr>
        <w:trPr/>
        <w:tc>
          <w:tcPr>
            <w:tcW w:w="3757"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Parent Company</w:t>
              <w:br/>
              <w:t>Net Investment</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 Loss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28, 2024</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1519" w:type="dxa"/>
            <w:tcBorders/>
            <w:shd w:fill="CCEEFF" w:val="clear"/>
            <w:vAlign w:val="bottom"/>
          </w:tcPr>
          <w:p>
            <w:pPr>
              <w:pStyle w:val="TableContents"/>
              <w:bidi w:val="0"/>
              <w:spacing w:before="0" w:after="283"/>
              <w:jc w:val="right"/>
              <w:rPr/>
            </w:pPr>
            <w:r>
              <w:rPr/>
              <w:t>11,534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708" w:type="dxa"/>
            <w:tcBorders/>
            <w:shd w:fill="CCEEFF" w:val="clear"/>
            <w:vAlign w:val="bottom"/>
          </w:tcPr>
          <w:p>
            <w:pPr>
              <w:pStyle w:val="TableContents"/>
              <w:bidi w:val="0"/>
              <w:spacing w:before="0" w:after="283"/>
              <w:jc w:val="right"/>
              <w:rPr/>
            </w:pPr>
            <w:r>
              <w:rPr/>
              <w:t>(452</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11,082</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211</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43</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gain on derivative contracts</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166</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41</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 from Parent</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583</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583</w:t>
            </w:r>
          </w:p>
        </w:tc>
        <w:tc>
          <w:tcPr>
            <w:tcW w:w="159"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15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September 27, 2024</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12,369</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(243</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12,126</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104</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(78</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loss on derivative contracts</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(107</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48</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 to Parent</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(92</w:t>
            </w:r>
          </w:p>
        </w:tc>
        <w:tc>
          <w:tcPr>
            <w:tcW w:w="159"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15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27, 2024</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1519" w:type="dxa"/>
            <w:tcBorders/>
            <w:shd w:fill="CCEEFF" w:val="clear"/>
            <w:vAlign w:val="bottom"/>
          </w:tcPr>
          <w:p>
            <w:pPr>
              <w:pStyle w:val="TableContents"/>
              <w:bidi w:val="0"/>
              <w:spacing w:before="0" w:after="283"/>
              <w:jc w:val="right"/>
              <w:rPr/>
            </w:pPr>
            <w:r>
              <w:rPr/>
              <w:t>12,435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708" w:type="dxa"/>
            <w:tcBorders/>
            <w:shd w:fill="CCEEFF" w:val="clear"/>
            <w:vAlign w:val="bottom"/>
          </w:tcPr>
          <w:p>
            <w:pPr>
              <w:pStyle w:val="TableContents"/>
              <w:bidi w:val="0"/>
              <w:spacing w:before="0" w:after="283"/>
              <w:jc w:val="right"/>
              <w:rPr/>
            </w:pPr>
            <w:r>
              <w:rPr/>
              <w:t>(434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12,001</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15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1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2380" w:type="dxa"/>
            <w:gridSpan w:val="4"/>
            <w:tcBorders/>
            <w:vAlign w:val="center"/>
          </w:tcPr>
          <w:p>
            <w:pPr>
              <w:pStyle w:val="TableContents"/>
              <w:bidi w:val="0"/>
              <w:spacing w:before="0" w:after="283"/>
              <w:jc w:val="left"/>
              <w:rPr>
                <w:sz w:val="4"/>
                <w:szCs w:val="4"/>
              </w:rPr>
            </w:pPr>
            <w:r>
              <w:rPr>
                <w:sz w:val="4"/>
                <w:szCs w:val="4"/>
              </w:rPr>
            </w:r>
          </w:p>
        </w:tc>
        <w:tc>
          <w:tcPr>
            <w:tcW w:w="2713"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Parent Company</w:t>
              <w:br/>
              <w:t>Net Investment</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 Other</w:t>
              <w:br/>
              <w:t>Comprehensive Loss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30, 2023</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1519" w:type="dxa"/>
            <w:tcBorders/>
            <w:shd w:fill="CCEEFF" w:val="clear"/>
            <w:vAlign w:val="bottom"/>
          </w:tcPr>
          <w:p>
            <w:pPr>
              <w:pStyle w:val="TableContents"/>
              <w:bidi w:val="0"/>
              <w:spacing w:before="0" w:after="283"/>
              <w:jc w:val="right"/>
              <w:rPr/>
            </w:pPr>
            <w:r>
              <w:rPr/>
              <w:t>11,782</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708" w:type="dxa"/>
            <w:tcBorders/>
            <w:shd w:fill="CCEEFF" w:val="clear"/>
            <w:vAlign w:val="bottom"/>
          </w:tcPr>
          <w:p>
            <w:pPr>
              <w:pStyle w:val="TableContents"/>
              <w:bidi w:val="0"/>
              <w:spacing w:before="0" w:after="283"/>
              <w:jc w:val="right"/>
              <w:rPr/>
            </w:pPr>
            <w:r>
              <w:rPr/>
              <w:t>(343</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11,439</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(518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(518</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(16</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loss on derivative contracts</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(39</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40</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 from Parent</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19</w:t>
            </w:r>
          </w:p>
        </w:tc>
        <w:tc>
          <w:tcPr>
            <w:tcW w:w="159"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15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September 29, 2023</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11,323</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(398</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10,925</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(301</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(301</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24</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unrealized gain on derivative contracts</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59</w:t>
            </w:r>
          </w:p>
        </w:tc>
        <w:tc>
          <w:tcPr>
            <w:tcW w:w="159"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 from Parent</w:t>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152</w:t>
            </w:r>
          </w:p>
        </w:tc>
        <w:tc>
          <w:tcPr>
            <w:tcW w:w="159"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15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29, 2023</w:t>
            </w:r>
          </w:p>
        </w:tc>
        <w:tc>
          <w:tcPr>
            <w:tcW w:w="403"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1519" w:type="dxa"/>
            <w:tcBorders/>
            <w:shd w:fill="CCEEFF" w:val="clear"/>
            <w:vAlign w:val="bottom"/>
          </w:tcPr>
          <w:p>
            <w:pPr>
              <w:pStyle w:val="TableContents"/>
              <w:bidi w:val="0"/>
              <w:spacing w:before="0" w:after="283"/>
              <w:jc w:val="right"/>
              <w:rPr/>
            </w:pPr>
            <w:r>
              <w:rPr/>
              <w:t>11,211</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w:t>
            </w:r>
          </w:p>
        </w:tc>
        <w:tc>
          <w:tcPr>
            <w:tcW w:w="1708"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10,896</w:t>
            </w:r>
          </w:p>
        </w:tc>
        <w:tc>
          <w:tcPr>
            <w:tcW w:w="159"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15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02" w:type="dxa"/>
            <w:tcBorders/>
            <w:vAlign w:val="bottom"/>
          </w:tcPr>
          <w:p>
            <w:pPr>
              <w:pStyle w:val="TableContents"/>
              <w:pBdr>
                <w:top w:val="double" w:sz="6" w:space="1" w:color="000000"/>
              </w:pBdr>
              <w:bidi w:val="0"/>
              <w:spacing w:before="0" w:after="0"/>
              <w:jc w:val="left"/>
              <w:rPr/>
            </w:pPr>
            <w:r>
              <w:rPr/>
              <w:t> </w:t>
            </w:r>
          </w:p>
        </w:tc>
        <w:tc>
          <w:tcPr>
            <w:tcW w:w="17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bookmarkStart w:id="40" w:name="fin934557_13"/>
      <w:bookmarkEnd w:id="40"/>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Note 1. Organization and Basis of Presentation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Sandisk Corporation (Company, we, us, or our)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everyone from students, gamers, and home offices to the largest enterprises and public clouds to capture, preserve, access, and transform an ever-increasing diversity of data. The Company operates primarily in the United States (U.S.) and internationally, with a significant concentration in the Asia Pacific region.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2023, our parent company, Western Digital Corporation (collectively WDC or Parent), announced that its board of directors (WDC Board of Directors) authorized management to pursue a plan to separate the Company into an independent public company. The separation received final approval by the WDC Board of Directors and was completed on February 21, 2025. </w:t>
      </w:r>
    </w:p>
    <w:p>
      <w:pPr>
        <w:pStyle w:val="TextBody"/>
        <w:bidi w:val="0"/>
        <w:spacing w:before="240" w:after="0"/>
        <w:jc w:val="left"/>
        <w:rPr>
          <w:rFonts w:ascii="Times New Roman" w:hAnsi="Times New Roman"/>
          <w:sz w:val="20"/>
        </w:rPr>
      </w:pPr>
      <w:r>
        <w:rPr>
          <w:rFonts w:ascii="Times New Roman" w:hAnsi="Times New Roman"/>
          <w:sz w:val="20"/>
        </w:rPr>
        <w:t xml:space="preserve">WDC executed the spin-off of the Company through WDCs pro rata distribution of 80.1% of the outstanding shares of common stock of the Company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19.9% of the shares of the Companys common stock, which WDC is expected to retain for a period of up to 12 months following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completion of the spin-off was subject to certain conditions as described in our Registration Statement on Form 10, initially filed with the U.S. Securities and Exchange Commission (SEC) on November 25, 2024, and as further amended thereafter and declared effective on January 31, 2025 (as amended, the Form 10).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spin-off, the Company entered into or adopted several agreements that provide a framework for the relationships between the Company and WDC. See Note 9, </w:t>
      </w:r>
      <w:r>
        <w:rPr>
          <w:rFonts w:ascii="Times New Roman" w:hAnsi="Times New Roman"/>
          <w:i/>
          <w:sz w:val="20"/>
        </w:rPr>
        <w:t>Related Parties and Related Commitments and Contingencies</w:t>
      </w:r>
      <w:r>
        <w:rPr>
          <w:rFonts w:ascii="Times New Roman" w:hAnsi="Times New Roman"/>
          <w:sz w:val="20"/>
        </w:rPr>
        <w:t xml:space="preserve">, of the Notes to the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followed by the Company are set forth in Note 1, </w:t>
      </w:r>
      <w:r>
        <w:rPr>
          <w:rFonts w:ascii="Times New Roman" w:hAnsi="Times New Roman"/>
          <w:i/>
          <w:sz w:val="20"/>
        </w:rPr>
        <w:t>Organization and Basis of Presentation</w:t>
      </w:r>
      <w:r>
        <w:rPr>
          <w:rFonts w:ascii="Times New Roman" w:hAnsi="Times New Roman"/>
          <w:sz w:val="20"/>
        </w:rPr>
        <w:t xml:space="preserve">, of the Notes to the Combined Financial Statements for the year ended June 28, 2024, included in Exhibit 99.1 to our Form 10.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Unaudited Interim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prepared the accompanying Condensed Combined Financial Statements pursuant to the rules and regulations of the SEC for interim financial reporting. These Condensed Combined Financial Statements are unaudited and, in our opinion, include all adjustments, consisting of normal recurring adjustments and accruals necessary for a fair presentation of our operations, financial position, and cash flows for the periods presented. Operating results for the periods presented are not necessarily indicative of the results that may be expected for the full fiscal year due to seasonal and other factors. Certain information and footnote disclosures normally included in financial statements prepared in accordance with U.S. generally accepted accounting principles (GAAP) have been omitted in accordance with the rules and regulations of the SEC. These Condensed Combined Financial Statements should be read in conjunction with the Companys audited Combined Financial Statements and accompanying notes for the year ended June 28, 2024, included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Throughout the periods covered by the Condensed Combined Financial Statements, the Company was an operating segment of WDC. Consequently, stand-alone interim financial statements were not historically prepared for the Company. The accompanying Condensed Combined Financial Statements have been prepared from WDCs historical consolidated interim financial statements and accounting records and are presented on a stand-alone basis as if the Companys operations had been conducted independently from WDC. The Company utilized allocations and carve-out methodologies to prepare these historic Condensed Combined Financial Statements. The Condensed Combined Financial Statements include the historical results of operations, financial position, and cash flows of the Company in accordance with GAAP, and the Company has adopted accounting policies and practices that are generally accepted in the industry in which it operates. As no single legal entity of the Company had a controlling financial interest in all other legal entities as of the reporting date, Condensed Combined Financial Statements have been prepared. </w:t>
      </w:r>
    </w:p>
    <w:p>
      <w:pPr>
        <w:pStyle w:val="TextBody"/>
        <w:bidi w:val="0"/>
        <w:spacing w:before="240" w:after="0"/>
        <w:jc w:val="left"/>
        <w:rPr>
          <w:rFonts w:ascii="Times New Roman" w:hAnsi="Times New Roman"/>
          <w:sz w:val="20"/>
        </w:rPr>
      </w:pPr>
      <w:r>
        <w:rPr>
          <w:rFonts w:ascii="Times New Roman" w:hAnsi="Times New Roman"/>
          <w:sz w:val="20"/>
        </w:rPr>
        <w:t xml:space="preserve">Intercompany transactions have been eliminated. With the exception of balances associated with lending arrangements reflected within Notes due to (from) Parent in the Condensed Combined Balance Sheets, transactions between the Company and WDC are generally considered to be effectively settled in the Condensed Combined Financial Statements at the time the transactions are recorded. The total net effect of the settlement of these transactions is reflected in the Condensed Combined Statements of Cash Flows as a financing activity and in the Condensed Combined Balance Sheets as Parent company net investment. General financing activities include the net impact of any cash movements resulting from WDCs centralized treasury cash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Combined Balance Sheets include all assets and liabilities that are specifically identifiable or otherwise attributable to the Company. Assets and liabilities shared between the Company and WDC are included in the stand-alone financial statements to the extent the asset is primarily used by the Company. If the Company is not the primary user of the asset, it is excluded entirely from the Condensed Combined Financial Statements. WDC has historically used a centralized approach to cash management and financing of its operations, as needed. Certain of our cash was transferred to WDC according to centrally managed cash programs by treasury, and WDC funded our operating and investing activities as needed. Cash transfers to and from WDCs cash management accounts are reflected as a component of the Parent company net investment in the Condensed Combined Balance Sheets. Cash and cash equivalents in our Condensed Combined Balance Sheets primarily represent cash held locally by entities included in our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None of the debt obligations of WDC or corresponding interest expense have been included in the accompanying Condensed Combined Financial Statements, as the Company is neither the legal obligor nor transferee for any portion of such debt. WDCs debt obligations were secured by a lien on substantially all assets and properties of WDC and certain key subsidiaries, which included assets and properties of the Company prior to the completion of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Combined Statements of Operations and Comprehensive Income (Loss) include all revenues and costs directly attributable to the Company as well as an allocation of expenses related to facilities, functions and services provided by WDC. Allocation of general corporate expenses from WDC include, but are not limited to, executive management, finance, tax, legal, information technology, employee benefits administration, treasury, risk management, procurement, and other shared services. These corporate expenses have been allocated to the Company based on direct usage or benefit, where identifiable, with the remainder allocated based on headcount, revenue, or other relevant measures. The allocated costs are deemed to be settled between the Company and WDC in the period in which the expense was recorded in the Condensed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Statements of Operations. The Condensed Combined Statements of Cash Flows present these corporate expenses as cash flows from operating activities, as these costs were incurred by WDC on our behalf. We consider these allocations to be a reasonable reflection of the utilization of services by, or the benefits provided to, the Company. The allocations may not, however, reflect the expense the Company would have incurred as a stand-alone company for the periods presented. Additionally, these costs may not be indicative of the expenses that the Company will incur in the future or would have incurred if the Company had obtained these services from an unrelated third party. It is not practicable to estimate the actual costs that would have been incurred had the Company been a stand-alone company during the periods presented. The actual costs that may have been incurred would depend on a number of factors, including the chosen organizational structure, whether functions were outsourced or performed by employees, and decisions with respect to areas such as facilities, information technology, and operating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WDC maintains various stock-based compensation plans at a corporate level. Employees of the Company participated in those programs and a portion of the compensation cost associated with those plans is included in the Companys Condensed Combined Statements of Operations for the periods presented in this interim financial information. Stock-based compensation expense has been included within Parent company net investment. The amounts presented in the Condensed Combined Financial Statements are not necessarily indicative of future awards and may not reflect the results that the Company would have experienced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Current and deferred income taxes and related tax expenses have been determined based on the stand-alone results of the Company by applying Accounting Standards Codification No. 740, Income Taxes, to the Companys operations in each country as if it were a separate taxpayer (i.e., following the Separate Return Methodology). </w:t>
      </w:r>
    </w:p>
    <w:p>
      <w:pPr>
        <w:pStyle w:val="TextBody"/>
        <w:bidi w:val="0"/>
        <w:spacing w:before="360" w:after="0"/>
        <w:jc w:val="left"/>
        <w:rPr>
          <w:rFonts w:ascii="Times New Roman" w:hAnsi="Times New Roman"/>
          <w:i/>
          <w:sz w:val="20"/>
        </w:rPr>
      </w:pPr>
      <w:r>
        <w:rPr>
          <w:rFonts w:ascii="Times New Roman" w:hAnsi="Times New Roman"/>
          <w:i/>
          <w:sz w:val="20"/>
        </w:rPr>
        <w:t xml:space="preserve">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of 52 weeks, with all quarters presented consisting of 13 weeks. Unless otherwise indicated, references herein to specific years and quarters are to fiscal years and fiscal quarters, and references to financial information are on a condensed combined basis. </w:t>
      </w:r>
    </w:p>
    <w:p>
      <w:pPr>
        <w:pStyle w:val="TextBody"/>
        <w:bidi w:val="0"/>
        <w:spacing w:before="360" w:after="0"/>
        <w:jc w:val="left"/>
        <w:rPr>
          <w:rFonts w:ascii="Times New Roman" w:hAnsi="Times New Roman"/>
          <w:i/>
          <w:sz w:val="20"/>
        </w:rPr>
      </w:pPr>
      <w:r>
        <w:rPr>
          <w:rFonts w:ascii="Times New Roman" w:hAnsi="Times New Roman"/>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components of an enterprise for which separate financial information is available and are evaluated regularly by the Companys Chief Operating Decision Maker (CODM) in deciding how to allocate resources and in assessing performance. The Company currently operates as both a single operating and reportable segment. </w:t>
      </w:r>
    </w:p>
    <w:p>
      <w:pPr>
        <w:pStyle w:val="TextBody"/>
        <w:bidi w:val="0"/>
        <w:spacing w:before="360" w:after="0"/>
        <w:jc w:val="left"/>
        <w:rPr>
          <w:rFonts w:ascii="Times New Roman" w:hAnsi="Times New Roman"/>
          <w:i/>
          <w:sz w:val="20"/>
        </w:rPr>
      </w:pPr>
      <w:r>
        <w:rPr>
          <w:rFonts w:ascii="Times New Roman" w:hAnsi="Times New Roman"/>
          <w:i/>
          <w:sz w:val="20"/>
        </w:rPr>
        <w:t xml:space="preserve">Business Separation Costs </w:t>
      </w:r>
    </w:p>
    <w:p>
      <w:pPr>
        <w:pStyle w:val="TextBody"/>
        <w:bidi w:val="0"/>
        <w:spacing w:before="120" w:after="0"/>
        <w:jc w:val="left"/>
        <w:rPr>
          <w:rFonts w:ascii="Times New Roman" w:hAnsi="Times New Roman"/>
          <w:sz w:val="20"/>
        </w:rPr>
      </w:pPr>
      <w:r>
        <w:rPr>
          <w:rFonts w:ascii="Times New Roman" w:hAnsi="Times New Roman"/>
          <w:sz w:val="20"/>
        </w:rPr>
        <w:t xml:space="preserve">On October 30, 2023, WDC announced that its Board of Directors had completed its strategic review and, after evaluating a comprehensive range of alternatives, authorized WDC to pursue a plan to separate its flash business from its hard disk drive business to create two independent public companies. As a result of the plan, the Company has incurred separation and transition costs related to the completion of its separation from WDC. The separation and transition costs are recorded within Business separation costs in the Condensed Combined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Note 2. Recent Accounting Pronouncements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Accounting Pronouncements Recently Adopted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the Financial Accounting Standards Board (FASB)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The ASU requires the Company to provide disclosure of outstanding obligations to such suppliers for all balance sheet dates presented beginning with the Companys first quarter of 2024 and to provide certain annual roll-forward information related to those obligations beginning with the Companys first fiscal quarter of 2025. The ASU does not affect the recognition, measurement or financial statement presentation for supplier finance program obligations. The Company adopted the guidance on the first day of fiscal year 2024, and the adoption did not have a material impact on its Condensed Combined Financial Statements. As of December 27, 2024, none of the Companys suppliers are utilizing these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Segment Reporting (Topic 280): Improvements to Reportable Segment Disclosures, which expands on segment reporting requirements primarily through enhanced disclosures surrounding significant segment expenses. The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is currently assessing these reporting requirements and expects to provide any required disclosures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The ASU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June 26, 2026, with early adoption permitted. The Company expects to provide any required disclosures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and assessing the basis of adoption and expects to adopt the guidance for annual reporting periods included in the Companys financial statements for the year ending June 30, 2028. </w:t>
      </w:r>
    </w:p>
    <w:p>
      <w:pPr>
        <w:pStyle w:val="TextBody"/>
        <w:bidi w:val="0"/>
        <w:spacing w:before="360" w:after="0"/>
        <w:jc w:val="left"/>
        <w:rPr>
          <w:rFonts w:ascii="Times New Roman" w:hAnsi="Times New Roman"/>
          <w:b/>
          <w:sz w:val="20"/>
        </w:rPr>
      </w:pPr>
      <w:r>
        <w:rPr>
          <w:rFonts w:ascii="Times New Roman" w:hAnsi="Times New Roman"/>
          <w:b/>
          <w:sz w:val="20"/>
        </w:rPr>
        <w:t xml:space="preserve">Note 3. Geographic Information and Concentrations of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Disaggregated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Companys broad portfolio of technology and products addresses multiple end markets. Cloud represents a large and growing end market comprised primarily of products for public or private cloud environments and enterprise customers. Through the Client end market, the Company provides its original equipment manufacturer (OEM) and channel customers a broad array of high-performance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The Companys disaggregated revenue information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9"/>
        <w:gridCol w:w="580"/>
        <w:gridCol w:w="284"/>
        <w:gridCol w:w="1136"/>
        <w:gridCol w:w="60"/>
        <w:gridCol w:w="580"/>
        <w:gridCol w:w="284"/>
        <w:gridCol w:w="1136"/>
        <w:gridCol w:w="66"/>
      </w:tblGrid>
      <w:tr>
        <w:trPr/>
        <w:tc>
          <w:tcPr>
            <w:tcW w:w="3629"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34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66" w:type="dxa"/>
            <w:tcBorders/>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29,</w:t>
            </w:r>
            <w:r>
              <w:rPr/>
              <w:br/>
            </w:r>
            <w:r>
              <w:rPr>
                <w:b/>
              </w:rPr>
              <w:t>2023</w:t>
            </w:r>
          </w:p>
        </w:tc>
        <w:tc>
          <w:tcPr>
            <w:tcW w:w="66" w:type="dxa"/>
            <w:tcBorders/>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3480" w:type="dxa"/>
            <w:gridSpan w:val="6"/>
            <w:tcBorders/>
            <w:vAlign w:val="bottom"/>
          </w:tcPr>
          <w:p>
            <w:pPr>
              <w:pStyle w:val="TableContents"/>
              <w:bidi w:val="0"/>
              <w:spacing w:before="0" w:after="283"/>
              <w:jc w:val="center"/>
              <w:rPr>
                <w:i/>
              </w:rPr>
            </w:pPr>
            <w:r>
              <w:rPr>
                <w:i/>
              </w:rPr>
              <w:t>(in millions)</w:t>
            </w:r>
          </w:p>
        </w:tc>
        <w:tc>
          <w:tcPr>
            <w:tcW w:w="66"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by end market</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13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Cloud</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550</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58</w:t>
            </w:r>
          </w:p>
        </w:tc>
        <w:tc>
          <w:tcPr>
            <w:tcW w:w="66"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Client</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2,097</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1,967</w:t>
            </w:r>
          </w:p>
        </w:tc>
        <w:tc>
          <w:tcPr>
            <w:tcW w:w="66"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Consumer</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1,173</w:t>
            </w:r>
          </w:p>
        </w:tc>
        <w:tc>
          <w:tcPr>
            <w:tcW w:w="66" w:type="dxa"/>
            <w:tcBorders/>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3,759</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3,198</w:t>
            </w:r>
          </w:p>
        </w:tc>
        <w:tc>
          <w:tcPr>
            <w:tcW w:w="66" w:type="dxa"/>
            <w:tcBorders/>
            <w:shd w:fill="CCEEFF" w:val="clear"/>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Revenue by geography</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1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sz w:val="4"/>
                <w:szCs w:val="4"/>
              </w:rPr>
            </w:pPr>
            <w:r>
              <w:rPr>
                <w:sz w:val="4"/>
                <w:szCs w:val="4"/>
              </w:rPr>
            </w:r>
          </w:p>
        </w:tc>
        <w:tc>
          <w:tcPr>
            <w:tcW w:w="113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2,236</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2,173</w:t>
            </w:r>
          </w:p>
        </w:tc>
        <w:tc>
          <w:tcPr>
            <w:tcW w:w="66"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832</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487</w:t>
            </w:r>
          </w:p>
        </w:tc>
        <w:tc>
          <w:tcPr>
            <w:tcW w:w="66"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691</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538</w:t>
            </w:r>
          </w:p>
        </w:tc>
        <w:tc>
          <w:tcPr>
            <w:tcW w:w="66" w:type="dxa"/>
            <w:tcBorders/>
            <w:shd w:fill="CCEEFF" w:val="clear"/>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3,759</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3,198</w:t>
            </w:r>
          </w:p>
        </w:tc>
        <w:tc>
          <w:tcPr>
            <w:tcW w:w="66" w:type="dxa"/>
            <w:tcBorders/>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top 10 customers accounted for 46% of its net revenue for the six months ended December 27, 2024, and 43% of its net revenue for the six months ended December 29, 2023. For the six months ended December 27, 2024, no customer accounted for more than 10% of the Companys net revenue. For the six months ended December 29, 2023, one customer accounted for 10% of the Companys net revenue. </w:t>
      </w:r>
    </w:p>
    <w:p>
      <w:pPr>
        <w:pStyle w:val="TextBody"/>
        <w:bidi w:val="0"/>
        <w:spacing w:before="360" w:after="0"/>
        <w:jc w:val="left"/>
        <w:rPr>
          <w:rFonts w:ascii="Times New Roman" w:hAnsi="Times New Roman"/>
          <w:b/>
          <w:sz w:val="20"/>
        </w:rPr>
      </w:pPr>
      <w:r>
        <w:rPr>
          <w:rFonts w:ascii="Times New Roman" w:hAnsi="Times New Roman"/>
          <w:b/>
          <w:sz w:val="20"/>
        </w:rPr>
        <w:t xml:space="preserve">Note 4. Revenues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represent the Companys rights to consideration where performance obligations are completed, but the customer payments are not due until another performance obligation is satisfied.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 did not have any contract assets as of December 27, 2024, or June 28, 2024. Contract liabilities relate to customers payments in advance of performance under the contract and primarily relate to remaining performance obligations under professional service and support and maintenance contracts. Contract liabilities as of December 27, 2024 and June 28, 2024, and changes in contract liabilities for the six months ended December 27, 2024 and December 29, 2023, were not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incurs sales commissions as direct incremental costs to obtain sales contracts. The Company has applied the practical expedient to recognize sales commissions as an expense when incurred if the amortization period is expected to be one year or less or the amount is not material, with these costs charged to Selling, general and administrative expenses. The Company had no other direct incremental costs to obtain contracts that have an expected benefit of greater than one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the practical expedients and does not disclose the transaction price allocated to the remaining performance obligations for (i) arrangements with an original expected duration of one year or less, mainly consisting of professional service, support, and maintenance contracts, and (ii) variable consideration for sale-based or usage-based royalties for intellectual property license arrangements, which typically range longer than one year. The remaining performance obligations are mainly attributed to right-to-access patent license arrangements, professional service arrangements and customer support and service contracts, which will be recognized over their contract period. The transaction price allocated to the remaining performance obligations as of December 27, 2024, was not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Note 5. Supplemental Financial Statement Data </w:t>
      </w:r>
    </w:p>
    <w:p>
      <w:pPr>
        <w:pStyle w:val="TextBody"/>
        <w:bidi w:val="0"/>
        <w:spacing w:before="12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summary of goodwill activity for the period presented: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7"/>
        <w:gridCol w:w="596"/>
        <w:gridCol w:w="219"/>
        <w:gridCol w:w="879"/>
        <w:gridCol w:w="158"/>
      </w:tblGrid>
      <w:tr>
        <w:trPr/>
        <w:tc>
          <w:tcPr>
            <w:tcW w:w="5087" w:type="dxa"/>
            <w:tcBorders/>
            <w:vAlign w:val="center"/>
          </w:tcPr>
          <w:p>
            <w:pPr>
              <w:pStyle w:val="TableContents"/>
              <w:bidi w:val="0"/>
              <w:spacing w:before="0" w:after="283"/>
              <w:jc w:val="left"/>
              <w:rPr>
                <w:sz w:val="4"/>
                <w:szCs w:val="4"/>
              </w:rPr>
            </w:pPr>
            <w:r>
              <w:rPr>
                <w:sz w:val="4"/>
                <w:szCs w:val="4"/>
              </w:rPr>
            </w:r>
          </w:p>
        </w:tc>
        <w:tc>
          <w:tcPr>
            <w:tcW w:w="596"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7"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1098" w:type="dxa"/>
            <w:gridSpan w:val="2"/>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5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28, 2024</w:t>
            </w:r>
          </w:p>
        </w:tc>
        <w:tc>
          <w:tcPr>
            <w:tcW w:w="59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7,207</w:t>
            </w:r>
          </w:p>
        </w:tc>
        <w:tc>
          <w:tcPr>
            <w:tcW w:w="158" w:type="dxa"/>
            <w:tcBorders/>
            <w:shd w:fill="CCEEFF" w:val="clear"/>
            <w:vAlign w:val="bottom"/>
          </w:tcPr>
          <w:p>
            <w:pPr>
              <w:pStyle w:val="TableContents"/>
              <w:bidi w:val="0"/>
              <w:spacing w:before="0" w:after="283"/>
              <w:jc w:val="left"/>
              <w:rPr/>
            </w:pPr>
            <w:r>
              <w:rPr/>
              <w:t> </w:t>
            </w:r>
          </w:p>
        </w:tc>
      </w:tr>
      <w:tr>
        <w:trPr/>
        <w:tc>
          <w:tcPr>
            <w:tcW w:w="5087" w:type="dxa"/>
            <w:tcBorders/>
          </w:tcPr>
          <w:p>
            <w:pPr>
              <w:pStyle w:val="TableContents"/>
              <w:bidi w:val="0"/>
              <w:spacing w:before="0" w:after="0"/>
              <w:jc w:val="left"/>
              <w:rPr>
                <w:rFonts w:ascii="Times New Roman" w:hAnsi="Times New Roman"/>
                <w:sz w:val="20"/>
              </w:rPr>
            </w:pPr>
            <w:r>
              <w:rPr>
                <w:rFonts w:ascii="Times New Roman" w:hAnsi="Times New Roman"/>
                <w:sz w:val="20"/>
              </w:rPr>
              <w:t>Divestiture (1)</w:t>
            </w:r>
          </w:p>
        </w:tc>
        <w:tc>
          <w:tcPr>
            <w:tcW w:w="59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(382</w:t>
            </w:r>
          </w:p>
        </w:tc>
        <w:tc>
          <w:tcPr>
            <w:tcW w:w="158" w:type="dxa"/>
            <w:tcBorders/>
            <w:vAlign w:val="bottom"/>
          </w:tcPr>
          <w:p>
            <w:pPr>
              <w:pStyle w:val="TableContents"/>
              <w:bidi w:val="0"/>
              <w:spacing w:before="0" w:after="283"/>
              <w:jc w:val="left"/>
              <w:rPr/>
            </w:pPr>
            <w:r>
              <w:rPr/>
              <w:t>) </w:t>
            </w:r>
          </w:p>
        </w:tc>
      </w:tr>
      <w:tr>
        <w:trPr/>
        <w:tc>
          <w:tcPr>
            <w:tcW w:w="5087" w:type="dxa"/>
            <w:tcBorders/>
            <w:vAlign w:val="bottom"/>
          </w:tcPr>
          <w:p>
            <w:pPr>
              <w:pStyle w:val="TableContents"/>
              <w:bidi w:val="0"/>
              <w:spacing w:before="0" w:after="283"/>
              <w:jc w:val="left"/>
              <w:rPr>
                <w:sz w:val="4"/>
                <w:szCs w:val="4"/>
              </w:rPr>
            </w:pPr>
            <w:r>
              <w:rPr>
                <w:sz w:val="4"/>
                <w:szCs w:val="4"/>
              </w:rPr>
            </w:r>
          </w:p>
        </w:tc>
        <w:tc>
          <w:tcPr>
            <w:tcW w:w="596"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27, 2024</w:t>
            </w:r>
          </w:p>
        </w:tc>
        <w:tc>
          <w:tcPr>
            <w:tcW w:w="59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6,825</w:t>
            </w:r>
          </w:p>
        </w:tc>
        <w:tc>
          <w:tcPr>
            <w:tcW w:w="158" w:type="dxa"/>
            <w:tcBorders/>
            <w:shd w:fill="CCEEFF" w:val="clear"/>
            <w:vAlign w:val="bottom"/>
          </w:tcPr>
          <w:p>
            <w:pPr>
              <w:pStyle w:val="TableContents"/>
              <w:bidi w:val="0"/>
              <w:spacing w:before="0" w:after="283"/>
              <w:jc w:val="left"/>
              <w:rPr/>
            </w:pPr>
            <w:r>
              <w:rPr/>
              <w:t> </w:t>
            </w:r>
          </w:p>
        </w:tc>
      </w:tr>
      <w:tr>
        <w:trPr/>
        <w:tc>
          <w:tcPr>
            <w:tcW w:w="5087" w:type="dxa"/>
            <w:tcBorders/>
            <w:vAlign w:val="bottom"/>
          </w:tcPr>
          <w:p>
            <w:pPr>
              <w:pStyle w:val="TableContents"/>
              <w:bidi w:val="0"/>
              <w:spacing w:before="0" w:after="283"/>
              <w:jc w:val="left"/>
              <w:rPr>
                <w:sz w:val="4"/>
                <w:szCs w:val="4"/>
              </w:rPr>
            </w:pPr>
            <w:r>
              <w:rPr>
                <w:sz w:val="4"/>
                <w:szCs w:val="4"/>
              </w:rPr>
            </w:r>
          </w:p>
        </w:tc>
        <w:tc>
          <w:tcPr>
            <w:tcW w:w="596"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September 28, 2024, the Company sold its majority interest in a subsidiary. See further discussion in Part 1, Item 1, Note 9, </w:t>
            </w:r>
            <w:r>
              <w:rPr>
                <w:rFonts w:ascii="Times New Roman" w:hAnsi="Times New Roman"/>
                <w:i/>
                <w:sz w:val="20"/>
              </w:rPr>
              <w:t>Related Parties and Related Commitments and Contingencies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Goodwill attributed to the Company represents the historical goodwill balances in WDCs business arising from acquisitions specific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its single operating segment was also its single reporting unit. 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use judgment when assessing goodwill for impairment, including evaluating the impact of industry and macroeconomic conditions and the determination of the fair value of the reporting unit.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addition, the estimates and assumptions used to determine the fair value as well as the actual carrying value may change based on future changes in the Companys results of operations, macroeconomic conditions or other factors. Changes in these estimates and assumptions could materially affect the Companys assessment of the fair value and goodwill impairment. In addition, if negative macroeconomic conditions continue or worsen, goodwill could become impaired, which could result in an impairment charge and materially adversely affect the Companys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December 29, 2023, there were no impairment charges recorded. In the six months ended December 27, 2024, the Company identified macroeconomic conditions and other qualitative factors indicating a potential impairment of goodwill at December 27, 2024. The Company conducted a quantitative analysis of the fair value of its sole reporting unit to determine the existence and magnitude of any potential goodwill impairment. The quantitative analysis employed a weighted valuation model, assessing the fair value of the reporting unit using both income and market approaches. </w:t>
      </w:r>
    </w:p>
    <w:p>
      <w:pPr>
        <w:pStyle w:val="TextBody"/>
        <w:bidi w:val="0"/>
        <w:spacing w:before="240" w:after="0"/>
        <w:jc w:val="left"/>
        <w:rPr>
          <w:rFonts w:ascii="Times New Roman" w:hAnsi="Times New Roman"/>
          <w:sz w:val="20"/>
        </w:rPr>
      </w:pPr>
      <w:r>
        <w:rPr>
          <w:rFonts w:ascii="Times New Roman" w:hAnsi="Times New Roman"/>
          <w:sz w:val="20"/>
        </w:rPr>
        <w:t xml:space="preserve">The income approach valued the projected discounted cash flows that are expected to be generated by the Companys reporting unit and required judgments and estimates surrounding general economic conditions and company-specific performance inputs such as revenue growth rates, gross margins, operating costs, capital expenditures, assumed tax rates and other assumptions deemed reasonable by management. The market approach valued the reporting unit based upon financial performance and market multiples of comparable public companies, including consideration of a control premium representing the estimated amount a market participant would pay to obtain a controlling interest in the Company. After completion of the quantitative analysis, the Company determined that the fair value of its reporting unit exceeded its carrying value by 12%, resulting in no impairment charges recorded in the three and six months ended December 27, 2024. See Note 15, </w:t>
      </w:r>
      <w:r>
        <w:rPr>
          <w:rFonts w:ascii="Times New Roman" w:hAnsi="Times New Roman"/>
          <w:i/>
          <w:sz w:val="20"/>
        </w:rPr>
        <w:t>Subsequent Events</w:t>
      </w:r>
      <w:r>
        <w:rPr>
          <w:rFonts w:ascii="Times New Roman" w:hAnsi="Times New Roman"/>
          <w:sz w:val="20"/>
        </w:rPr>
        <w:t xml:space="preserve">, for information about a potential impairment of goodwill for the three months ended March 28,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 connection with factoring agreements, WDC sells certain of our trade accounts receivable without recourse to third-party purchasers in exchange for cash. During the six months ended December 27, 2024, there were no trade accounts receivable of the Company sold by WDC. During the six months ended December 29, 2023, WDC sold trade accounts receivable of the Company and received cash proceeds of $272 million. The discounts on the trade accounts receivable sold during the period were not material and were recorded within Other expense, net in the Condensed Combined Statements of Operations. There were no factored receivables outstanding as of December 27, 2024 and June 28,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5"/>
        <w:gridCol w:w="458"/>
        <w:gridCol w:w="283"/>
        <w:gridCol w:w="1178"/>
        <w:gridCol w:w="60"/>
        <w:gridCol w:w="458"/>
        <w:gridCol w:w="175"/>
        <w:gridCol w:w="724"/>
        <w:gridCol w:w="64"/>
      </w:tblGrid>
      <w:tr>
        <w:trPr/>
        <w:tc>
          <w:tcPr>
            <w:tcW w:w="4355"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64"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878" w:type="dxa"/>
            <w:gridSpan w:val="6"/>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4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55" w:type="dxa"/>
            <w:tcBorders/>
          </w:tcPr>
          <w:p>
            <w:pPr>
              <w:pStyle w:val="TableContents"/>
              <w:bidi w:val="0"/>
              <w:spacing w:before="0" w:after="0"/>
              <w:jc w:val="left"/>
              <w:rPr>
                <w:rFonts w:ascii="Times New Roman" w:hAnsi="Times New Roman"/>
                <w:sz w:val="20"/>
              </w:rPr>
            </w:pPr>
            <w:r>
              <w:rPr>
                <w:rFonts w:ascii="Times New Roman" w:hAnsi="Times New Roman"/>
                <w:sz w:val="20"/>
              </w:rPr>
              <w:t>Raw materials and component parts</w:t>
            </w:r>
          </w:p>
        </w:tc>
        <w:tc>
          <w:tcPr>
            <w:tcW w:w="4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1,661</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1,398</w:t>
            </w:r>
          </w:p>
        </w:tc>
        <w:tc>
          <w:tcPr>
            <w:tcW w:w="64" w:type="dxa"/>
            <w:tcBorders/>
            <w:vAlign w:val="bottom"/>
          </w:tcPr>
          <w:p>
            <w:pPr>
              <w:pStyle w:val="TableContents"/>
              <w:bidi w:val="0"/>
              <w:spacing w:before="0" w:after="283"/>
              <w:jc w:val="left"/>
              <w:rPr/>
            </w:pPr>
            <w:r>
              <w:rPr/>
              <w:t> </w:t>
            </w:r>
          </w:p>
        </w:tc>
      </w:tr>
      <w:tr>
        <w:trPr/>
        <w:tc>
          <w:tcPr>
            <w:tcW w:w="4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Work-in-process</w:t>
            </w:r>
          </w:p>
        </w:tc>
        <w:tc>
          <w:tcPr>
            <w:tcW w:w="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208</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237</w:t>
            </w:r>
          </w:p>
        </w:tc>
        <w:tc>
          <w:tcPr>
            <w:tcW w:w="64" w:type="dxa"/>
            <w:tcBorders/>
            <w:shd w:fill="CCEEFF" w:val="clear"/>
            <w:vAlign w:val="bottom"/>
          </w:tcPr>
          <w:p>
            <w:pPr>
              <w:pStyle w:val="TableContents"/>
              <w:bidi w:val="0"/>
              <w:spacing w:before="0" w:after="283"/>
              <w:jc w:val="left"/>
              <w:rPr/>
            </w:pPr>
            <w:r>
              <w:rPr/>
              <w:t> </w:t>
            </w:r>
          </w:p>
        </w:tc>
      </w:tr>
      <w:tr>
        <w:trPr/>
        <w:tc>
          <w:tcPr>
            <w:tcW w:w="4355" w:type="dxa"/>
            <w:tcBorders/>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303</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320</w:t>
            </w:r>
          </w:p>
        </w:tc>
        <w:tc>
          <w:tcPr>
            <w:tcW w:w="64"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4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2,172</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1,955</w:t>
            </w:r>
          </w:p>
        </w:tc>
        <w:tc>
          <w:tcPr>
            <w:tcW w:w="64"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Property, plant and equipment,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77"/>
        <w:gridCol w:w="483"/>
        <w:gridCol w:w="255"/>
        <w:gridCol w:w="1163"/>
        <w:gridCol w:w="155"/>
        <w:gridCol w:w="483"/>
        <w:gridCol w:w="158"/>
        <w:gridCol w:w="724"/>
        <w:gridCol w:w="157"/>
      </w:tblGrid>
      <w:tr>
        <w:trPr/>
        <w:tc>
          <w:tcPr>
            <w:tcW w:w="4177"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77"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157" w:type="dxa"/>
            <w:tcBorders/>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2938" w:type="dxa"/>
            <w:gridSpan w:val="6"/>
            <w:tcBorders/>
            <w:vAlign w:val="bottom"/>
          </w:tcPr>
          <w:p>
            <w:pPr>
              <w:pStyle w:val="TableContents"/>
              <w:bidi w:val="0"/>
              <w:spacing w:before="0" w:after="283"/>
              <w:jc w:val="center"/>
              <w:rPr>
                <w:i/>
              </w:rPr>
            </w:pPr>
            <w:r>
              <w:rPr>
                <w:i/>
              </w:rPr>
              <w:t>(in millions)</w:t>
            </w:r>
          </w:p>
        </w:tc>
        <w:tc>
          <w:tcPr>
            <w:tcW w:w="157"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8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177" w:type="dxa"/>
            <w:tcBorders/>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10</w:t>
            </w:r>
          </w:p>
        </w:tc>
        <w:tc>
          <w:tcPr>
            <w:tcW w:w="157"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48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1,463</w:t>
            </w:r>
          </w:p>
        </w:tc>
        <w:tc>
          <w:tcPr>
            <w:tcW w:w="155"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2,340</w:t>
            </w:r>
          </w:p>
        </w:tc>
        <w:tc>
          <w:tcPr>
            <w:tcW w:w="157" w:type="dxa"/>
            <w:tcBorders/>
            <w:shd w:fill="CCEEFF" w:val="clear"/>
            <w:vAlign w:val="bottom"/>
          </w:tcPr>
          <w:p>
            <w:pPr>
              <w:pStyle w:val="TableContents"/>
              <w:bidi w:val="0"/>
              <w:spacing w:before="0" w:after="283"/>
              <w:jc w:val="left"/>
              <w:rPr/>
            </w:pPr>
            <w:r>
              <w:rPr/>
              <w:t> </w:t>
            </w:r>
          </w:p>
        </w:tc>
      </w:tr>
      <w:tr>
        <w:trPr/>
        <w:tc>
          <w:tcPr>
            <w:tcW w:w="4177"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improvements</w:t>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280</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397</w:t>
            </w:r>
          </w:p>
        </w:tc>
        <w:tc>
          <w:tcPr>
            <w:tcW w:w="157"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48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153</w:t>
            </w:r>
          </w:p>
        </w:tc>
        <w:tc>
          <w:tcPr>
            <w:tcW w:w="155"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123</w:t>
            </w:r>
          </w:p>
        </w:tc>
        <w:tc>
          <w:tcPr>
            <w:tcW w:w="157" w:type="dxa"/>
            <w:tcBorders/>
            <w:shd w:fill="CCEEFF" w:val="clear"/>
            <w:vAlign w:val="bottom"/>
          </w:tcPr>
          <w:p>
            <w:pPr>
              <w:pStyle w:val="TableContents"/>
              <w:bidi w:val="0"/>
              <w:spacing w:before="0" w:after="283"/>
              <w:jc w:val="left"/>
              <w:rPr/>
            </w:pPr>
            <w:r>
              <w:rPr/>
              <w:t> </w:t>
            </w:r>
          </w:p>
        </w:tc>
      </w:tr>
      <w:tr>
        <w:trPr/>
        <w:tc>
          <w:tcPr>
            <w:tcW w:w="4177"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16</w:t>
            </w:r>
          </w:p>
        </w:tc>
        <w:tc>
          <w:tcPr>
            <w:tcW w:w="157"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Construction-in-process</w:t>
            </w:r>
          </w:p>
        </w:tc>
        <w:tc>
          <w:tcPr>
            <w:tcW w:w="48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108</w:t>
            </w:r>
          </w:p>
        </w:tc>
        <w:tc>
          <w:tcPr>
            <w:tcW w:w="157"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1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gross</w:t>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2,038</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2,994</w:t>
            </w:r>
          </w:p>
        </w:tc>
        <w:tc>
          <w:tcPr>
            <w:tcW w:w="157"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48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(1,459</w:t>
            </w:r>
          </w:p>
        </w:tc>
        <w:tc>
          <w:tcPr>
            <w:tcW w:w="155"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(2,203</w:t>
            </w:r>
          </w:p>
        </w:tc>
        <w:tc>
          <w:tcPr>
            <w:tcW w:w="157"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1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579</w:t>
            </w:r>
          </w:p>
        </w:tc>
        <w:tc>
          <w:tcPr>
            <w:tcW w:w="155"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791</w:t>
            </w:r>
          </w:p>
        </w:tc>
        <w:tc>
          <w:tcPr>
            <w:tcW w:w="157" w:type="dxa"/>
            <w:tcBorders/>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Product warranty liability </w:t>
      </w:r>
    </w:p>
    <w:p>
      <w:pPr>
        <w:pStyle w:val="TextBody"/>
        <w:bidi w:val="0"/>
        <w:spacing w:before="120" w:after="0"/>
        <w:jc w:val="left"/>
        <w:rPr>
          <w:rFonts w:ascii="Times New Roman" w:hAnsi="Times New Roman"/>
          <w:sz w:val="20"/>
        </w:rPr>
      </w:pPr>
      <w:r>
        <w:rPr>
          <w:rFonts w:ascii="Times New Roman" w:hAnsi="Times New Roman"/>
          <w:sz w:val="20"/>
        </w:rPr>
        <w:t xml:space="preserve">Changes in the warranty accrual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08"/>
        <w:gridCol w:w="649"/>
        <w:gridCol w:w="417"/>
        <w:gridCol w:w="1001"/>
        <w:gridCol w:w="155"/>
        <w:gridCol w:w="649"/>
        <w:gridCol w:w="417"/>
        <w:gridCol w:w="1001"/>
        <w:gridCol w:w="158"/>
      </w:tblGrid>
      <w:tr>
        <w:trPr/>
        <w:tc>
          <w:tcPr>
            <w:tcW w:w="3308" w:type="dxa"/>
            <w:tcBorders/>
            <w:vAlign w:val="center"/>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08"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3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8" w:type="dxa"/>
            <w:tcBorders/>
            <w:vAlign w:val="bottom"/>
          </w:tcPr>
          <w:p>
            <w:pPr>
              <w:pStyle w:val="TableContents"/>
              <w:bidi w:val="0"/>
              <w:spacing w:before="0" w:after="283"/>
              <w:jc w:val="left"/>
              <w:rPr/>
            </w:pPr>
            <w:r>
              <w:rPr/>
              <w:t> </w:t>
            </w:r>
          </w:p>
        </w:tc>
      </w:tr>
      <w:tr>
        <w:trPr/>
        <w:tc>
          <w:tcPr>
            <w:tcW w:w="3308"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8" w:type="dxa"/>
            <w:tcBorders/>
            <w:vAlign w:val="bottom"/>
          </w:tcPr>
          <w:p>
            <w:pPr>
              <w:pStyle w:val="TableContents"/>
              <w:bidi w:val="0"/>
              <w:spacing w:before="0" w:after="283"/>
              <w:jc w:val="left"/>
              <w:rPr/>
            </w:pPr>
            <w:r>
              <w:rPr/>
              <w:t> </w:t>
            </w:r>
          </w:p>
        </w:tc>
      </w:tr>
      <w:tr>
        <w:trPr/>
        <w:tc>
          <w:tcPr>
            <w:tcW w:w="3308"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3640" w:type="dxa"/>
            <w:gridSpan w:val="6"/>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3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accrual, beginning of period</w:t>
            </w:r>
          </w:p>
        </w:tc>
        <w:tc>
          <w:tcPr>
            <w:tcW w:w="64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42</w:t>
            </w:r>
          </w:p>
        </w:tc>
        <w:tc>
          <w:tcPr>
            <w:tcW w:w="158" w:type="dxa"/>
            <w:tcBorders/>
            <w:shd w:fill="CCEEFF" w:val="clear"/>
            <w:vAlign w:val="bottom"/>
          </w:tcPr>
          <w:p>
            <w:pPr>
              <w:pStyle w:val="TableContents"/>
              <w:bidi w:val="0"/>
              <w:spacing w:before="0" w:after="283"/>
              <w:jc w:val="left"/>
              <w:rPr/>
            </w:pPr>
            <w:r>
              <w:rPr/>
              <w:t> </w:t>
            </w:r>
          </w:p>
        </w:tc>
      </w:tr>
      <w:tr>
        <w:trPr/>
        <w:tc>
          <w:tcPr>
            <w:tcW w:w="3308" w:type="dxa"/>
            <w:tcBorders/>
          </w:tcPr>
          <w:p>
            <w:pPr>
              <w:pStyle w:val="TableContents"/>
              <w:bidi w:val="0"/>
              <w:spacing w:before="0" w:after="0"/>
              <w:jc w:val="left"/>
              <w:rPr>
                <w:rFonts w:ascii="Times New Roman" w:hAnsi="Times New Roman"/>
                <w:sz w:val="20"/>
              </w:rPr>
            </w:pPr>
            <w:r>
              <w:rPr>
                <w:rFonts w:ascii="Times New Roman" w:hAnsi="Times New Roman"/>
                <w:sz w:val="20"/>
              </w:rPr>
              <w:t>Charges to operations</w:t>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r>
      <w:tr>
        <w:trPr/>
        <w:tc>
          <w:tcPr>
            <w:tcW w:w="3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Utilization</w:t>
            </w:r>
          </w:p>
        </w:tc>
        <w:tc>
          <w:tcPr>
            <w:tcW w:w="64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(17</w:t>
            </w:r>
          </w:p>
        </w:tc>
        <w:tc>
          <w:tcPr>
            <w:tcW w:w="158" w:type="dxa"/>
            <w:tcBorders/>
            <w:shd w:fill="CCEEFF" w:val="clear"/>
            <w:vAlign w:val="bottom"/>
          </w:tcPr>
          <w:p>
            <w:pPr>
              <w:pStyle w:val="TableContents"/>
              <w:bidi w:val="0"/>
              <w:spacing w:before="0" w:after="283"/>
              <w:jc w:val="left"/>
              <w:rPr/>
            </w:pPr>
            <w:r>
              <w:rPr/>
              <w:t>) </w:t>
            </w:r>
          </w:p>
        </w:tc>
      </w:tr>
      <w:tr>
        <w:trPr/>
        <w:tc>
          <w:tcPr>
            <w:tcW w:w="330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estimate related to pre-existing warranties</w:t>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3308" w:type="dxa"/>
            <w:tcBorders/>
            <w:vAlign w:val="bottom"/>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accrual, end of period</w:t>
            </w:r>
          </w:p>
        </w:tc>
        <w:tc>
          <w:tcPr>
            <w:tcW w:w="64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3308" w:type="dxa"/>
            <w:tcBorders/>
            <w:vAlign w:val="bottom"/>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current portion of the warranty accrual was classified in Accrued expenses and the long-term portion was classified in Other liabilities as noted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37"/>
        <w:gridCol w:w="648"/>
        <w:gridCol w:w="495"/>
        <w:gridCol w:w="929"/>
        <w:gridCol w:w="60"/>
        <w:gridCol w:w="648"/>
        <w:gridCol w:w="306"/>
        <w:gridCol w:w="569"/>
        <w:gridCol w:w="63"/>
      </w:tblGrid>
      <w:tr>
        <w:trPr/>
        <w:tc>
          <w:tcPr>
            <w:tcW w:w="4037"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3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63" w:type="dxa"/>
            <w:tcBorders/>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3007" w:type="dxa"/>
            <w:gridSpan w:val="6"/>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accrual:</w:t>
            </w:r>
          </w:p>
        </w:tc>
        <w:tc>
          <w:tcPr>
            <w:tcW w:w="64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portion</w:t>
            </w:r>
          </w:p>
        </w:tc>
        <w:tc>
          <w:tcPr>
            <w:tcW w:w="64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21</w:t>
            </w:r>
          </w:p>
        </w:tc>
        <w:tc>
          <w:tcPr>
            <w:tcW w:w="63" w:type="dxa"/>
            <w:tcBorders/>
            <w:shd w:fill="CCEEFF" w:val="clear"/>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Total warranty accrual</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Other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74"/>
        <w:gridCol w:w="563"/>
        <w:gridCol w:w="382"/>
        <w:gridCol w:w="1055"/>
        <w:gridCol w:w="60"/>
        <w:gridCol w:w="563"/>
        <w:gridCol w:w="235"/>
        <w:gridCol w:w="659"/>
        <w:gridCol w:w="64"/>
      </w:tblGrid>
      <w:tr>
        <w:trPr/>
        <w:tc>
          <w:tcPr>
            <w:tcW w:w="4174"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7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64" w:type="dxa"/>
            <w:tcBorders/>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954" w:type="dxa"/>
            <w:gridSpan w:val="6"/>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56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65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lease liability</w:t>
            </w:r>
          </w:p>
        </w:tc>
        <w:tc>
          <w:tcPr>
            <w:tcW w:w="56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659" w:type="dxa"/>
            <w:tcBorders/>
            <w:vAlign w:val="bottom"/>
          </w:tcPr>
          <w:p>
            <w:pPr>
              <w:pStyle w:val="TableContents"/>
              <w:bidi w:val="0"/>
              <w:spacing w:before="0" w:after="283"/>
              <w:jc w:val="right"/>
              <w:rPr/>
            </w:pPr>
            <w:r>
              <w:rPr/>
              <w:t>171</w:t>
            </w:r>
          </w:p>
        </w:tc>
        <w:tc>
          <w:tcPr>
            <w:tcW w:w="64"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net tax payable</w:t>
            </w:r>
          </w:p>
        </w:tc>
        <w:tc>
          <w:tcPr>
            <w:tcW w:w="56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56</w:t>
            </w:r>
          </w:p>
        </w:tc>
        <w:tc>
          <w:tcPr>
            <w:tcW w:w="64" w:type="dxa"/>
            <w:tcBorders/>
            <w:shd w:fill="CCEEFF" w:val="clear"/>
            <w:vAlign w:val="bottom"/>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6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liabilities</w:t>
            </w:r>
          </w:p>
        </w:tc>
        <w:tc>
          <w:tcPr>
            <w:tcW w:w="56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307</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286</w:t>
            </w:r>
          </w:p>
        </w:tc>
        <w:tc>
          <w:tcPr>
            <w:tcW w:w="64" w:type="dxa"/>
            <w:tcBorders/>
            <w:shd w:fill="CCEEFF" w:val="clear"/>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Accumulated other comprehensive loss (AOCL), net of tax, refers to expenses, gains, and losses that are recorded as an element of equity but are excluded from net income. The components of AOCL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06"/>
        <w:gridCol w:w="381"/>
        <w:gridCol w:w="287"/>
        <w:gridCol w:w="962"/>
        <w:gridCol w:w="155"/>
        <w:gridCol w:w="381"/>
        <w:gridCol w:w="269"/>
        <w:gridCol w:w="879"/>
        <w:gridCol w:w="155"/>
        <w:gridCol w:w="381"/>
        <w:gridCol w:w="383"/>
        <w:gridCol w:w="1271"/>
        <w:gridCol w:w="162"/>
      </w:tblGrid>
      <w:tr>
        <w:trPr/>
        <w:tc>
          <w:tcPr>
            <w:tcW w:w="2906"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06"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pPr>
            <w:r>
              <w:rPr>
                <w:b/>
              </w:rPr>
              <w:t>Foreign</w:t>
            </w:r>
            <w:r>
              <w:rPr/>
              <w:br/>
            </w:r>
            <w:r>
              <w:rPr>
                <w:b/>
              </w:rPr>
              <w:t>Currency</w:t>
            </w:r>
            <w:r>
              <w:rPr/>
              <w:br/>
            </w:r>
            <w:r>
              <w:rPr>
                <w:b/>
              </w:rPr>
              <w:t>Translation</w:t>
            </w:r>
            <w:r>
              <w:rPr/>
              <w:br/>
            </w:r>
            <w:r>
              <w:rPr>
                <w:b/>
              </w:rPr>
              <w:t>Adjustment</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pPr>
            <w:r>
              <w:rPr>
                <w:b/>
              </w:rPr>
              <w:t>Unrealized</w:t>
            </w:r>
            <w:r>
              <w:rPr/>
              <w:br/>
            </w:r>
            <w:r>
              <w:rPr>
                <w:b/>
              </w:rPr>
              <w:t>Income</w:t>
            </w:r>
            <w:r>
              <w:rPr/>
              <w:br/>
            </w:r>
            <w:r>
              <w:rPr>
                <w:b/>
              </w:rPr>
              <w:t>(Losses) on</w:t>
            </w:r>
            <w:r>
              <w:rPr/>
              <w:br/>
            </w:r>
            <w:r>
              <w:rPr>
                <w:b/>
              </w:rPr>
              <w:t>Derivative</w:t>
            </w:r>
            <w:r>
              <w:rPr/>
              <w:br/>
            </w:r>
            <w:r>
              <w:rPr>
                <w:b/>
              </w:rPr>
              <w:t>Contracts</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Accumulated</w:t>
            </w:r>
            <w:r>
              <w:rPr/>
              <w:br/>
            </w:r>
            <w:r>
              <w:rPr>
                <w:b/>
              </w:rPr>
              <w:t>Comprehensive</w:t>
            </w:r>
            <w:r>
              <w:rPr/>
              <w:br/>
            </w:r>
            <w:r>
              <w:rPr>
                <w:b/>
              </w:rPr>
              <w:t>Loss</w:t>
            </w:r>
          </w:p>
        </w:tc>
        <w:tc>
          <w:tcPr>
            <w:tcW w:w="162" w:type="dxa"/>
            <w:tcBorders/>
            <w:vAlign w:val="bottom"/>
          </w:tcPr>
          <w:p>
            <w:pPr>
              <w:pStyle w:val="TableContents"/>
              <w:bidi w:val="0"/>
              <w:spacing w:before="0" w:after="283"/>
              <w:jc w:val="left"/>
              <w:rPr/>
            </w:pPr>
            <w:r>
              <w:rPr/>
              <w:t> </w:t>
            </w:r>
          </w:p>
        </w:tc>
      </w:tr>
      <w:tr>
        <w:trPr/>
        <w:tc>
          <w:tcPr>
            <w:tcW w:w="2906"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5123" w:type="dxa"/>
            <w:gridSpan w:val="10"/>
            <w:tcBorders/>
            <w:vAlign w:val="bottom"/>
          </w:tcPr>
          <w:p>
            <w:pPr>
              <w:pStyle w:val="TableContents"/>
              <w:bidi w:val="0"/>
              <w:spacing w:before="0" w:after="283"/>
              <w:jc w:val="center"/>
              <w:rPr>
                <w:i/>
              </w:rPr>
            </w:pPr>
            <w:r>
              <w:rPr>
                <w:i/>
              </w:rPr>
              <w:t>(in millions)</w:t>
            </w:r>
          </w:p>
        </w:tc>
        <w:tc>
          <w:tcPr>
            <w:tcW w:w="162" w:type="dxa"/>
            <w:tcBorders/>
            <w:vAlign w:val="bottom"/>
          </w:tcPr>
          <w:p>
            <w:pPr>
              <w:pStyle w:val="TableContents"/>
              <w:bidi w:val="0"/>
              <w:spacing w:before="0" w:after="283"/>
              <w:jc w:val="left"/>
              <w:rPr/>
            </w:pPr>
            <w:r>
              <w:rPr/>
              <w:t> </w:t>
            </w:r>
          </w:p>
        </w:tc>
      </w:tr>
      <w:tr>
        <w:trPr/>
        <w:tc>
          <w:tcPr>
            <w:tcW w:w="29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June 28, 2024</w:t>
            </w:r>
          </w:p>
        </w:tc>
        <w:tc>
          <w:tcPr>
            <w:tcW w:w="38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(208</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(452</w:t>
            </w:r>
          </w:p>
        </w:tc>
        <w:tc>
          <w:tcPr>
            <w:tcW w:w="162" w:type="dxa"/>
            <w:tcBorders/>
            <w:shd w:fill="CCEEFF" w:val="clear"/>
            <w:vAlign w:val="bottom"/>
          </w:tcPr>
          <w:p>
            <w:pPr>
              <w:pStyle w:val="TableContents"/>
              <w:bidi w:val="0"/>
              <w:spacing w:before="0" w:after="283"/>
              <w:jc w:val="left"/>
              <w:rPr/>
            </w:pPr>
            <w:r>
              <w:rPr/>
              <w:t>) </w:t>
            </w:r>
          </w:p>
        </w:tc>
      </w:tr>
      <w:tr>
        <w:trPr/>
        <w:tc>
          <w:tcPr>
            <w:tcW w:w="2906"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381"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39</w:t>
            </w:r>
          </w:p>
        </w:tc>
        <w:tc>
          <w:tcPr>
            <w:tcW w:w="162" w:type="dxa"/>
            <w:tcBorders/>
            <w:vAlign w:val="bottom"/>
          </w:tcPr>
          <w:p>
            <w:pPr>
              <w:pStyle w:val="TableContents"/>
              <w:bidi w:val="0"/>
              <w:spacing w:before="0" w:after="283"/>
              <w:jc w:val="left"/>
              <w:rPr/>
            </w:pPr>
            <w:r>
              <w:rPr/>
              <w:t> </w:t>
            </w:r>
          </w:p>
        </w:tc>
      </w:tr>
      <w:tr>
        <w:trPr/>
        <w:tc>
          <w:tcPr>
            <w:tcW w:w="2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related to items of other comprehensive income</w:t>
            </w:r>
          </w:p>
        </w:tc>
        <w:tc>
          <w:tcPr>
            <w:tcW w:w="38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(15</w:t>
            </w:r>
          </w:p>
        </w:tc>
        <w:tc>
          <w:tcPr>
            <w:tcW w:w="162" w:type="dxa"/>
            <w:tcBorders/>
            <w:shd w:fill="CCEEFF" w:val="clear"/>
            <w:vAlign w:val="bottom"/>
          </w:tcPr>
          <w:p>
            <w:pPr>
              <w:pStyle w:val="TableContents"/>
              <w:bidi w:val="0"/>
              <w:spacing w:before="0" w:after="283"/>
              <w:jc w:val="left"/>
              <w:rPr/>
            </w:pPr>
            <w:r>
              <w:rPr/>
              <w:t>) </w:t>
            </w:r>
          </w:p>
        </w:tc>
      </w:tr>
      <w:tr>
        <w:trPr/>
        <w:tc>
          <w:tcPr>
            <w:tcW w:w="290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06" w:type="dxa"/>
            <w:tcBorders/>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 (loss)</w:t>
            </w:r>
          </w:p>
        </w:tc>
        <w:tc>
          <w:tcPr>
            <w:tcW w:w="381"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24</w:t>
            </w:r>
          </w:p>
        </w:tc>
        <w:tc>
          <w:tcPr>
            <w:tcW w:w="162" w:type="dxa"/>
            <w:tcBorders/>
            <w:vAlign w:val="bottom"/>
          </w:tcPr>
          <w:p>
            <w:pPr>
              <w:pStyle w:val="TableContents"/>
              <w:bidi w:val="0"/>
              <w:spacing w:before="0" w:after="283"/>
              <w:jc w:val="left"/>
              <w:rPr/>
            </w:pPr>
            <w:r>
              <w:rPr/>
              <w:t> </w:t>
            </w:r>
          </w:p>
        </w:tc>
      </w:tr>
      <w:tr>
        <w:trPr/>
        <w:tc>
          <w:tcPr>
            <w:tcW w:w="2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 to Parent</w:t>
            </w:r>
          </w:p>
        </w:tc>
        <w:tc>
          <w:tcPr>
            <w:tcW w:w="381"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(6</w:t>
            </w:r>
          </w:p>
        </w:tc>
        <w:tc>
          <w:tcPr>
            <w:tcW w:w="162" w:type="dxa"/>
            <w:tcBorders/>
            <w:shd w:fill="CCEEFF" w:val="clear"/>
            <w:vAlign w:val="bottom"/>
          </w:tcPr>
          <w:p>
            <w:pPr>
              <w:pStyle w:val="TableContents"/>
              <w:bidi w:val="0"/>
              <w:spacing w:before="0" w:after="283"/>
              <w:jc w:val="left"/>
              <w:rPr/>
            </w:pPr>
            <w:r>
              <w:rPr/>
              <w:t>) </w:t>
            </w:r>
          </w:p>
        </w:tc>
      </w:tr>
      <w:tr>
        <w:trPr/>
        <w:tc>
          <w:tcPr>
            <w:tcW w:w="290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90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December 27, 2024</w:t>
            </w:r>
          </w:p>
        </w:tc>
        <w:tc>
          <w:tcPr>
            <w:tcW w:w="381"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w:t>
            </w:r>
          </w:p>
        </w:tc>
        <w:tc>
          <w:tcPr>
            <w:tcW w:w="1271" w:type="dxa"/>
            <w:tcBorders/>
            <w:vAlign w:val="bottom"/>
          </w:tcPr>
          <w:p>
            <w:pPr>
              <w:pStyle w:val="TableContents"/>
              <w:bidi w:val="0"/>
              <w:spacing w:before="0" w:after="283"/>
              <w:jc w:val="right"/>
              <w:rPr/>
            </w:pPr>
            <w:r>
              <w:rPr/>
              <w:t>(434</w:t>
            </w:r>
          </w:p>
        </w:tc>
        <w:tc>
          <w:tcPr>
            <w:tcW w:w="162" w:type="dxa"/>
            <w:tcBorders/>
            <w:vAlign w:val="bottom"/>
          </w:tcPr>
          <w:p>
            <w:pPr>
              <w:pStyle w:val="TableContents"/>
              <w:bidi w:val="0"/>
              <w:spacing w:before="0" w:after="283"/>
              <w:jc w:val="left"/>
              <w:rPr/>
            </w:pPr>
            <w:r>
              <w:rPr/>
              <w:t>) </w:t>
            </w:r>
          </w:p>
        </w:tc>
      </w:tr>
      <w:tr>
        <w:trPr/>
        <w:tc>
          <w:tcPr>
            <w:tcW w:w="290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12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December 27, 2024, the amounts reclassified out of AOCL were losses related to foreign exchange contracts, substantially all of which were charged to Cost of revenue in the Condensed Combined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27, 2024, substantially all existing net losses related to cash flow hedges recorded in AOCL are expected to be reclassified to earnings within the next twelve months. </w:t>
      </w:r>
    </w:p>
    <w:p>
      <w:pPr>
        <w:pStyle w:val="TextBody"/>
        <w:bidi w:val="0"/>
        <w:spacing w:before="360" w:after="0"/>
        <w:jc w:val="left"/>
        <w:rPr>
          <w:rFonts w:ascii="Times New Roman" w:hAnsi="Times New Roman"/>
          <w:b/>
          <w:sz w:val="20"/>
        </w:rPr>
      </w:pPr>
      <w:r>
        <w:rPr>
          <w:rFonts w:ascii="Times New Roman" w:hAnsi="Times New Roman"/>
          <w:b/>
          <w:sz w:val="20"/>
        </w:rPr>
        <w:t xml:space="preserve">Note 6. Fair Value Measurements and Investments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Financial Instruments Carried at Fair Value </w:t>
      </w:r>
    </w:p>
    <w:p>
      <w:pPr>
        <w:pStyle w:val="TextBody"/>
        <w:bidi w:val="0"/>
        <w:spacing w:before="120" w:after="0"/>
        <w:jc w:val="left"/>
        <w:rPr>
          <w:rFonts w:ascii="Times New Roman" w:hAnsi="Times New Roman"/>
          <w:sz w:val="20"/>
        </w:rPr>
      </w:pPr>
      <w:r>
        <w:rPr>
          <w:rFonts w:ascii="Times New Roman" w:hAnsi="Times New Roman"/>
          <w:sz w:val="20"/>
        </w:rPr>
        <w:t xml:space="preserve">Financial assets and liabilities that are remeasured and reported at fair value at each reporting period are classified and disclosed in one of the following three levels: </w:t>
      </w:r>
    </w:p>
    <w:p>
      <w:pPr>
        <w:pStyle w:val="TextBody"/>
        <w:bidi w:val="0"/>
        <w:spacing w:before="120" w:after="0"/>
        <w:jc w:val="left"/>
        <w:rPr>
          <w:rFonts w:ascii="Times New Roman" w:hAnsi="Times New Roman"/>
          <w:sz w:val="20"/>
        </w:rPr>
      </w:pPr>
      <w:r>
        <w:rPr>
          <w:rFonts w:ascii="Times New Roman" w:hAnsi="Times New Roman"/>
          <w:i/>
          <w:sz w:val="20"/>
        </w:rPr>
        <w:t xml:space="preserve">Level 1. </w:t>
      </w:r>
      <w:r>
        <w:rPr>
          <w:rFonts w:ascii="Times New Roman" w:hAnsi="Times New Roman"/>
          <w:sz w:val="20"/>
        </w:rPr>
        <w:t xml:space="preserve">Quoted prices in active markets for identical assets or liabilities. </w:t>
      </w:r>
    </w:p>
    <w:p>
      <w:pPr>
        <w:pStyle w:val="TextBody"/>
        <w:bidi w:val="0"/>
        <w:spacing w:before="240" w:after="0"/>
        <w:jc w:val="left"/>
        <w:rPr>
          <w:rFonts w:ascii="Times New Roman" w:hAnsi="Times New Roman"/>
          <w:sz w:val="20"/>
        </w:rPr>
      </w:pPr>
      <w:r>
        <w:rPr>
          <w:rFonts w:ascii="Times New Roman" w:hAnsi="Times New Roman"/>
          <w:i/>
          <w:sz w:val="20"/>
        </w:rPr>
        <w:t xml:space="preserve">Level 2. </w:t>
      </w:r>
      <w:r>
        <w:rPr>
          <w:rFonts w:ascii="Times New Roman" w:hAnsi="Times New Roman"/>
          <w:sz w:val="20"/>
        </w:rPr>
        <w:t xml:space="preserve">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240" w:after="0"/>
        <w:jc w:val="left"/>
        <w:rPr>
          <w:rFonts w:ascii="Times New Roman" w:hAnsi="Times New Roman"/>
          <w:sz w:val="20"/>
        </w:rPr>
      </w:pPr>
      <w:r>
        <w:rPr>
          <w:rFonts w:ascii="Times New Roman" w:hAnsi="Times New Roman"/>
          <w:i/>
          <w:sz w:val="20"/>
        </w:rPr>
        <w:t xml:space="preserve">Level 3. </w:t>
      </w:r>
      <w:r>
        <w:rPr>
          <w:rFonts w:ascii="Times New Roman" w:hAnsi="Times New Roman"/>
          <w:sz w:val="20"/>
        </w:rPr>
        <w:t xml:space="preserve">Inputs that are unobservable for the asset or liability and that are significant to the fair value of the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present information about the Companys financial instruments that were measured at fair value on a recurring basis for the periods presented and indicate the fair value hierarchy of the valuation techniques utilized to determine such values: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90"/>
        <w:gridCol w:w="387"/>
        <w:gridCol w:w="203"/>
        <w:gridCol w:w="589"/>
        <w:gridCol w:w="60"/>
        <w:gridCol w:w="387"/>
        <w:gridCol w:w="203"/>
        <w:gridCol w:w="589"/>
        <w:gridCol w:w="60"/>
        <w:gridCol w:w="387"/>
        <w:gridCol w:w="381"/>
        <w:gridCol w:w="382"/>
        <w:gridCol w:w="60"/>
        <w:gridCol w:w="387"/>
        <w:gridCol w:w="150"/>
        <w:gridCol w:w="409"/>
        <w:gridCol w:w="64"/>
      </w:tblGrid>
      <w:tr>
        <w:trPr/>
        <w:tc>
          <w:tcPr>
            <w:tcW w:w="469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9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424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27, 2024</w:t>
            </w:r>
          </w:p>
        </w:tc>
        <w:tc>
          <w:tcPr>
            <w:tcW w:w="64" w:type="dxa"/>
            <w:tcBorders/>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4247" w:type="dxa"/>
            <w:gridSpan w:val="14"/>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690"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 - Money market funds</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09" w:type="dxa"/>
            <w:tcBorders/>
            <w:vAlign w:val="bottom"/>
          </w:tcPr>
          <w:p>
            <w:pPr>
              <w:pStyle w:val="TableContents"/>
              <w:bidi w:val="0"/>
              <w:spacing w:before="0" w:after="283"/>
              <w:jc w:val="right"/>
              <w:rPr/>
            </w:pPr>
            <w:r>
              <w:rPr/>
              <w:t>232</w:t>
            </w:r>
          </w:p>
        </w:tc>
        <w:tc>
          <w:tcPr>
            <w:tcW w:w="64" w:type="dxa"/>
            <w:tcBorders/>
            <w:vAlign w:val="bottom"/>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contracts (included in other current assets)</w:t>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17</w:t>
            </w:r>
          </w:p>
        </w:tc>
        <w:tc>
          <w:tcPr>
            <w:tcW w:w="64" w:type="dxa"/>
            <w:tcBorders/>
            <w:shd w:fill="CCEEFF" w:val="clear"/>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9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 at fair value</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09" w:type="dxa"/>
            <w:tcBorders/>
            <w:vAlign w:val="bottom"/>
          </w:tcPr>
          <w:p>
            <w:pPr>
              <w:pStyle w:val="TableContents"/>
              <w:bidi w:val="0"/>
              <w:spacing w:before="0" w:after="283"/>
              <w:jc w:val="right"/>
              <w:rPr/>
            </w:pPr>
            <w:r>
              <w:rPr/>
              <w:t>249</w:t>
            </w:r>
          </w:p>
        </w:tc>
        <w:tc>
          <w:tcPr>
            <w:tcW w:w="64" w:type="dxa"/>
            <w:tcBorders/>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0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690"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contracts (included in accrued expenses)</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09"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at fair value</w:t>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145</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09" w:type="dxa"/>
            <w:tcBorders/>
            <w:shd w:fill="CCEEFF" w:val="clear"/>
            <w:vAlign w:val="bottom"/>
          </w:tcPr>
          <w:p>
            <w:pPr>
              <w:pStyle w:val="TableContents"/>
              <w:bidi w:val="0"/>
              <w:spacing w:before="0" w:after="283"/>
              <w:jc w:val="right"/>
              <w:rPr/>
            </w:pPr>
            <w:r>
              <w:rPr/>
              <w:t>145</w:t>
            </w:r>
          </w:p>
        </w:tc>
        <w:tc>
          <w:tcPr>
            <w:tcW w:w="64" w:type="dxa"/>
            <w:tcBorders/>
            <w:shd w:fill="CCEEFF" w:val="clear"/>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0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61"/>
        <w:gridCol w:w="386"/>
        <w:gridCol w:w="290"/>
        <w:gridCol w:w="492"/>
        <w:gridCol w:w="60"/>
        <w:gridCol w:w="386"/>
        <w:gridCol w:w="203"/>
        <w:gridCol w:w="602"/>
        <w:gridCol w:w="60"/>
        <w:gridCol w:w="386"/>
        <w:gridCol w:w="389"/>
        <w:gridCol w:w="391"/>
        <w:gridCol w:w="60"/>
        <w:gridCol w:w="386"/>
        <w:gridCol w:w="150"/>
        <w:gridCol w:w="420"/>
        <w:gridCol w:w="66"/>
      </w:tblGrid>
      <w:tr>
        <w:trPr/>
        <w:tc>
          <w:tcPr>
            <w:tcW w:w="4661"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42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28, 2024</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4275" w:type="dxa"/>
            <w:gridSpan w:val="14"/>
            <w:tcBorders/>
            <w:vAlign w:val="bottom"/>
          </w:tcPr>
          <w:p>
            <w:pPr>
              <w:pStyle w:val="TableContents"/>
              <w:bidi w:val="0"/>
              <w:spacing w:before="0" w:after="283"/>
              <w:jc w:val="center"/>
              <w:rPr>
                <w:i/>
              </w:rPr>
            </w:pPr>
            <w:r>
              <w:rPr>
                <w:i/>
              </w:rPr>
              <w:t>(in millions)</w:t>
            </w:r>
          </w:p>
        </w:tc>
        <w:tc>
          <w:tcPr>
            <w:tcW w:w="66" w:type="dxa"/>
            <w:tcBorders/>
            <w:vAlign w:val="bottom"/>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61"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 - Money market funds</w:t>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492"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20" w:type="dxa"/>
            <w:tcBorders/>
            <w:vAlign w:val="bottom"/>
          </w:tcPr>
          <w:p>
            <w:pPr>
              <w:pStyle w:val="TableContents"/>
              <w:bidi w:val="0"/>
              <w:spacing w:before="0" w:after="283"/>
              <w:jc w:val="right"/>
              <w:rPr/>
            </w:pPr>
            <w:r>
              <w:rPr/>
              <w:t>28</w:t>
            </w:r>
          </w:p>
        </w:tc>
        <w:tc>
          <w:tcPr>
            <w:tcW w:w="66" w:type="dxa"/>
            <w:tcBorders/>
            <w:vAlign w:val="bottom"/>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contracts (included in other current assets)</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right"/>
              <w:rPr/>
            </w:pPr>
            <w:r>
              <w:rPr/>
              <w:t>7</w:t>
            </w:r>
          </w:p>
        </w:tc>
        <w:tc>
          <w:tcPr>
            <w:tcW w:w="66" w:type="dxa"/>
            <w:tcBorders/>
            <w:shd w:fill="CCEEFF" w:val="clear"/>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4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6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 at fair value</w:t>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492"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20" w:type="dxa"/>
            <w:tcBorders/>
            <w:vAlign w:val="bottom"/>
          </w:tcPr>
          <w:p>
            <w:pPr>
              <w:pStyle w:val="TableContents"/>
              <w:bidi w:val="0"/>
              <w:spacing w:before="0" w:after="283"/>
              <w:jc w:val="right"/>
              <w:rPr/>
            </w:pPr>
            <w:r>
              <w:rPr/>
              <w:t>35</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4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2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61"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contracts (included in accrued expenses)</w:t>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4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02"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420" w:type="dxa"/>
            <w:tcBorders/>
            <w:vAlign w:val="bottom"/>
          </w:tcPr>
          <w:p>
            <w:pPr>
              <w:pStyle w:val="TableContents"/>
              <w:bidi w:val="0"/>
              <w:spacing w:before="0" w:after="283"/>
              <w:jc w:val="right"/>
              <w:rPr/>
            </w:pPr>
            <w:r>
              <w:rPr/>
              <w:t>179</w:t>
            </w:r>
          </w:p>
        </w:tc>
        <w:tc>
          <w:tcPr>
            <w:tcW w:w="66" w:type="dxa"/>
            <w:tcBorders/>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4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at fair value</w:t>
            </w:r>
          </w:p>
        </w:tc>
        <w:tc>
          <w:tcPr>
            <w:tcW w:w="38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4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179</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420" w:type="dxa"/>
            <w:tcBorders/>
            <w:shd w:fill="CCEEFF" w:val="clear"/>
            <w:vAlign w:val="bottom"/>
          </w:tcPr>
          <w:p>
            <w:pPr>
              <w:pStyle w:val="TableContents"/>
              <w:bidi w:val="0"/>
              <w:spacing w:before="0" w:after="283"/>
              <w:jc w:val="right"/>
              <w:rPr/>
            </w:pPr>
            <w:r>
              <w:rPr/>
              <w:t>179</w:t>
            </w:r>
          </w:p>
        </w:tc>
        <w:tc>
          <w:tcPr>
            <w:tcW w:w="66" w:type="dxa"/>
            <w:tcBorders/>
            <w:shd w:fill="CCEEFF" w:val="clear"/>
            <w:vAlign w:val="bottom"/>
          </w:tcPr>
          <w:p>
            <w:pPr>
              <w:pStyle w:val="TableContents"/>
              <w:bidi w:val="0"/>
              <w:spacing w:before="0" w:after="283"/>
              <w:jc w:val="left"/>
              <w:rPr/>
            </w:pPr>
            <w:r>
              <w:rPr/>
              <w:t> </w:t>
            </w:r>
          </w:p>
        </w:tc>
      </w:tr>
      <w:tr>
        <w:trPr/>
        <w:tc>
          <w:tcPr>
            <w:tcW w:w="4661"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4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42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periods presented, the Company had no transfers of financial instruments between levels and there were no changes in valuation techniques or the inputs used in the fair value measurement. </w:t>
      </w:r>
    </w:p>
    <w:p>
      <w:pPr>
        <w:pStyle w:val="TextBody"/>
        <w:bidi w:val="0"/>
        <w:spacing w:before="360" w:after="0"/>
        <w:jc w:val="left"/>
        <w:rPr>
          <w:rFonts w:ascii="Times New Roman" w:hAnsi="Times New Roman"/>
          <w:b/>
          <w:sz w:val="20"/>
        </w:rPr>
      </w:pPr>
      <w:r>
        <w:rPr>
          <w:rFonts w:ascii="Times New Roman" w:hAnsi="Times New Roman"/>
          <w:b/>
          <w:sz w:val="20"/>
        </w:rPr>
        <w:t xml:space="preserve">Note 7. Derivative Instruments and Hedging Activities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27, 2024, the Company had outstanding foreign exchange forward contracts that were designated as either cash flow hedges or non-designated hedges. Substantially all of the contract maturity dates of these foreign exchange forward contracts do not exceed twelve months.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fair values of the non-designated foreign exchange contracts are recognized in Other expense, net and are largely offset by corresponding changes in the fair values of the foreign currency denominated monetary assets and liabilities. For the six months ended December 27, 2024 total net realized and unrealized transaction and foreign exchange contract currency were a $25 million loss and were not material for the six months ended December 29,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Unrealized gains or losses on designated cash flow hedges are recognized in AOCL. For more information regarding cash flow hedges, see Note 5, </w:t>
      </w:r>
      <w:r>
        <w:rPr>
          <w:rFonts w:ascii="Times New Roman" w:hAnsi="Times New Roman"/>
          <w:i/>
          <w:sz w:val="20"/>
        </w:rPr>
        <w:t>Supplemental Financial Statement DataAccumulated other comprehensive loss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Note 8. Employee Benefit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Defined Benefit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defined benefit pension plan that is solely available for employees located in South Korea. As of December 27, 2024, and June 28, 2024, the plan had a net unfunded status of $7 million and $6 million, respectively, classified as Other liabilities on the Condensed Combined Balance Sheets. Total pension expense included in Cost of revenue and Operating expenses in the Condensed Combined Statements of Operations was not material for the six months ended December 27, 2024 and December 29, 2023. No employees of the Company participate in defined benefit pension plans sponsored by WDC or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Note 9. Related Parties and Related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Flash Ventures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notes receivable from, and equity investments in, Flash Ventures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15"/>
        <w:gridCol w:w="523"/>
        <w:gridCol w:w="382"/>
        <w:gridCol w:w="1101"/>
        <w:gridCol w:w="60"/>
        <w:gridCol w:w="523"/>
        <w:gridCol w:w="175"/>
        <w:gridCol w:w="712"/>
        <w:gridCol w:w="64"/>
      </w:tblGrid>
      <w:tr>
        <w:trPr/>
        <w:tc>
          <w:tcPr>
            <w:tcW w:w="4215"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15"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64"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953" w:type="dxa"/>
            <w:gridSpan w:val="6"/>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Flash Partners</w:t>
            </w:r>
          </w:p>
        </w:tc>
        <w:tc>
          <w:tcPr>
            <w:tcW w:w="52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72</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Times New Roman" w:hAnsi="Times New Roman"/>
                <w:sz w:val="20"/>
              </w:rPr>
            </w:pPr>
            <w:r>
              <w:rPr>
                <w:rFonts w:ascii="Times New Roman" w:hAnsi="Times New Roman"/>
                <w:sz w:val="20"/>
              </w:rPr>
              <w:t>Notes receivable, Flash Alliance</w:t>
            </w:r>
          </w:p>
        </w:tc>
        <w:tc>
          <w:tcPr>
            <w:tcW w:w="52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Flash Forward</w:t>
            </w:r>
          </w:p>
        </w:tc>
        <w:tc>
          <w:tcPr>
            <w:tcW w:w="52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476</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485</w:t>
            </w:r>
          </w:p>
        </w:tc>
        <w:tc>
          <w:tcPr>
            <w:tcW w:w="64"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Flash Partners</w:t>
            </w:r>
          </w:p>
        </w:tc>
        <w:tc>
          <w:tcPr>
            <w:tcW w:w="52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 Flash Alliance</w:t>
            </w:r>
          </w:p>
        </w:tc>
        <w:tc>
          <w:tcPr>
            <w:tcW w:w="52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118</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219</w:t>
            </w:r>
          </w:p>
        </w:tc>
        <w:tc>
          <w:tcPr>
            <w:tcW w:w="64"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Flash Forward</w:t>
            </w:r>
          </w:p>
        </w:tc>
        <w:tc>
          <w:tcPr>
            <w:tcW w:w="52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notes receivable and investments in Flash Ventures</w:t>
            </w:r>
          </w:p>
        </w:tc>
        <w:tc>
          <w:tcPr>
            <w:tcW w:w="52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871</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1,001</w:t>
            </w:r>
          </w:p>
        </w:tc>
        <w:tc>
          <w:tcPr>
            <w:tcW w:w="64"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December 27, 2024, and December 29, 2023, the Company made net payments to Flash Ventures of $2.0 billion and $1.8 billion, respectively, for purchased flash-based memory wafers and net loans.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Ventures entity. For all reporting periods presented, no loans were past due, and no loan impairments were recorded. The Companys notes receivable from each Flash Ventures entity, denominated in Japanese yen, are secured by equipment owned by that Flash Ventures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27, 2024, and June 28, 2024, the Company had accounts payable balances due to Flash Ventures of $252 million and $313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maximum reasonably estimable loss exposure (excluding lost profits) as a result of its involvement with Flash Ventures, based upon the Japanese yen to U.S. dollar exchange rate at December 27, 2024, is presented below. Investments in Flash Ventures are denominated in Japanese yen, and the maximum estimable loss exposure excludes any cumulative translation adjustment due to revaluation from the Japanese yen to the U.S. dollar.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87"/>
        <w:gridCol w:w="718"/>
        <w:gridCol w:w="284"/>
        <w:gridCol w:w="1186"/>
        <w:gridCol w:w="64"/>
      </w:tblGrid>
      <w:tr>
        <w:trPr/>
        <w:tc>
          <w:tcPr>
            <w:tcW w:w="4687" w:type="dxa"/>
            <w:tcBorders/>
            <w:vAlign w:val="center"/>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8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4" w:type="dxa"/>
            <w:tcBorders/>
            <w:vAlign w:val="bottom"/>
          </w:tcPr>
          <w:p>
            <w:pPr>
              <w:pStyle w:val="TableContents"/>
              <w:bidi w:val="0"/>
              <w:spacing w:before="0" w:after="283"/>
              <w:jc w:val="left"/>
              <w:rPr/>
            </w:pPr>
            <w:r>
              <w:rPr/>
              <w:t> </w:t>
            </w:r>
          </w:p>
        </w:tc>
      </w:tr>
      <w:tr>
        <w:trPr/>
        <w:tc>
          <w:tcPr>
            <w:tcW w:w="468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4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w:t>
            </w:r>
          </w:p>
        </w:tc>
        <w:tc>
          <w:tcPr>
            <w:tcW w:w="718"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583</w:t>
            </w:r>
          </w:p>
        </w:tc>
        <w:tc>
          <w:tcPr>
            <w:tcW w:w="64" w:type="dxa"/>
            <w:tcBorders/>
            <w:shd w:fill="CCEEFF" w:val="clear"/>
            <w:vAlign w:val="bottom"/>
          </w:tcPr>
          <w:p>
            <w:pPr>
              <w:pStyle w:val="TableContents"/>
              <w:bidi w:val="0"/>
              <w:spacing w:before="0" w:after="283"/>
              <w:jc w:val="left"/>
              <w:rPr/>
            </w:pPr>
            <w:r>
              <w:rPr/>
              <w:t> </w:t>
            </w:r>
          </w:p>
        </w:tc>
      </w:tr>
      <w:tr>
        <w:trPr/>
        <w:tc>
          <w:tcPr>
            <w:tcW w:w="4687" w:type="dxa"/>
            <w:tcBorders/>
          </w:tcPr>
          <w:p>
            <w:pPr>
              <w:pStyle w:val="TableContents"/>
              <w:bidi w:val="0"/>
              <w:spacing w:before="0" w:after="0"/>
              <w:jc w:val="left"/>
              <w:rPr>
                <w:rFonts w:ascii="Times New Roman" w:hAnsi="Times New Roman"/>
                <w:sz w:val="20"/>
              </w:rPr>
            </w:pPr>
            <w:r>
              <w:rPr>
                <w:rFonts w:ascii="Times New Roman" w:hAnsi="Times New Roman"/>
                <w:sz w:val="20"/>
              </w:rPr>
              <w:t>Equity investments</w:t>
            </w:r>
          </w:p>
        </w:tc>
        <w:tc>
          <w:tcPr>
            <w:tcW w:w="71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288</w:t>
            </w:r>
          </w:p>
        </w:tc>
        <w:tc>
          <w:tcPr>
            <w:tcW w:w="64" w:type="dxa"/>
            <w:tcBorders/>
            <w:vAlign w:val="bottom"/>
          </w:tcPr>
          <w:p>
            <w:pPr>
              <w:pStyle w:val="TableContents"/>
              <w:bidi w:val="0"/>
              <w:spacing w:before="0" w:after="283"/>
              <w:jc w:val="left"/>
              <w:rPr/>
            </w:pPr>
            <w:r>
              <w:rPr/>
              <w:t> </w:t>
            </w:r>
          </w:p>
        </w:tc>
      </w:tr>
      <w:tr>
        <w:trPr/>
        <w:tc>
          <w:tcPr>
            <w:tcW w:w="4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guarantees</w:t>
            </w:r>
          </w:p>
        </w:tc>
        <w:tc>
          <w:tcPr>
            <w:tcW w:w="718"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1,343</w:t>
            </w:r>
          </w:p>
        </w:tc>
        <w:tc>
          <w:tcPr>
            <w:tcW w:w="64" w:type="dxa"/>
            <w:tcBorders/>
            <w:shd w:fill="CCEEFF" w:val="clear"/>
            <w:vAlign w:val="bottom"/>
          </w:tcPr>
          <w:p>
            <w:pPr>
              <w:pStyle w:val="TableContents"/>
              <w:bidi w:val="0"/>
              <w:spacing w:before="0" w:after="283"/>
              <w:jc w:val="left"/>
              <w:rPr/>
            </w:pPr>
            <w:r>
              <w:rPr/>
              <w:t> </w:t>
            </w:r>
          </w:p>
        </w:tc>
      </w:tr>
      <w:tr>
        <w:trPr/>
        <w:tc>
          <w:tcPr>
            <w:tcW w:w="4687" w:type="dxa"/>
            <w:tcBorders/>
          </w:tcPr>
          <w:p>
            <w:pPr>
              <w:pStyle w:val="TableContents"/>
              <w:bidi w:val="0"/>
              <w:spacing w:before="0" w:after="0"/>
              <w:jc w:val="left"/>
              <w:rPr>
                <w:rFonts w:ascii="Times New Roman" w:hAnsi="Times New Roman"/>
                <w:sz w:val="20"/>
              </w:rPr>
            </w:pPr>
            <w:r>
              <w:rPr>
                <w:rFonts w:ascii="Times New Roman" w:hAnsi="Times New Roman"/>
                <w:sz w:val="20"/>
              </w:rPr>
              <w:t>Inventory and prepayments</w:t>
            </w:r>
          </w:p>
        </w:tc>
        <w:tc>
          <w:tcPr>
            <w:tcW w:w="71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1,393</w:t>
            </w:r>
          </w:p>
        </w:tc>
        <w:tc>
          <w:tcPr>
            <w:tcW w:w="64" w:type="dxa"/>
            <w:tcBorders/>
            <w:vAlign w:val="bottom"/>
          </w:tcPr>
          <w:p>
            <w:pPr>
              <w:pStyle w:val="TableContents"/>
              <w:bidi w:val="0"/>
              <w:spacing w:before="0" w:after="283"/>
              <w:jc w:val="left"/>
              <w:rPr/>
            </w:pPr>
            <w:r>
              <w:rPr/>
              <w:t> </w:t>
            </w:r>
          </w:p>
        </w:tc>
      </w:tr>
      <w:tr>
        <w:trPr/>
        <w:tc>
          <w:tcPr>
            <w:tcW w:w="4687"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Maximum estimable loss exposure</w:t>
            </w:r>
          </w:p>
        </w:tc>
        <w:tc>
          <w:tcPr>
            <w:tcW w:w="718"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3,607</w:t>
            </w:r>
          </w:p>
        </w:tc>
        <w:tc>
          <w:tcPr>
            <w:tcW w:w="64" w:type="dxa"/>
            <w:tcBorders/>
            <w:shd w:fill="CCEEFF" w:val="clear"/>
            <w:vAlign w:val="bottom"/>
          </w:tcPr>
          <w:p>
            <w:pPr>
              <w:pStyle w:val="TableContents"/>
              <w:bidi w:val="0"/>
              <w:spacing w:before="0" w:after="283"/>
              <w:jc w:val="left"/>
              <w:rPr/>
            </w:pPr>
            <w:r>
              <w:rPr/>
              <w:t> </w:t>
            </w:r>
          </w:p>
        </w:tc>
      </w:tr>
      <w:tr>
        <w:trPr/>
        <w:tc>
          <w:tcPr>
            <w:tcW w:w="4687"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is obligated to pay for variable costs incurred in producing its share of Flash Ventures flash-based memory wafer supply, based on its rolling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the Flash Ventures entitys operating cash flow is insufficient to fund these investments. </w:t>
      </w:r>
    </w:p>
    <w:p>
      <w:pPr>
        <w:pStyle w:val="TextBody"/>
        <w:bidi w:val="0"/>
        <w:spacing w:before="240" w:after="0"/>
        <w:jc w:val="left"/>
        <w:rPr>
          <w:rFonts w:ascii="Times New Roman" w:hAnsi="Times New Roman"/>
          <w:sz w:val="20"/>
        </w:rPr>
      </w:pPr>
      <w:r>
        <w:rPr>
          <w:rFonts w:ascii="Times New Roman" w:hAnsi="Times New Roman"/>
          <w:sz w:val="20"/>
        </w:rPr>
        <w:t xml:space="preserve">Flash Ventures has historically operated nearly 100% of its manufacturing capacity. During the three and six months ended December 29, 2023, as a result of flash market conditions, the Company temporarily reduced its utilization of its share of Flash Ventures manufacturing capacity to an abnormally low level to more closely align the Companys flash-based wafer supply with projected demand. During the six months ended December 29, 2023, the Company incurred costs of $249 million associated with the reduction in utilization related to Flash Ventures, which was recorded as a charge to Cost of revenue. No such charges were incurred during the six months ended December 27,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facility agreements with Kioxia related to the construction and operation of Kioxias 300-millimeter wafer fabrication facility in Kitakami, Japan, referred to as K1, a wafer fabrication facility in Yokkaichi, Japan, referred to as Y7, and a wafer fabrication facility in Kitakami, Japan, referred to as K2. In connection with the construction of these facilities, the Company makes prepayments toward future building depreciation. In connection with the start-up of the K1, Y7 and K2 facilities, the Company has made prepayments over time, and as of December 27, 2024, $944 million, with $124 million recorded within Other current assets and $840 million recorded within Other non-current assets in the Condensed Combined Balance Sheets, remain to be credited against future building depreciation charges. As of December 27, 2024, the Company is also committed to making additional building depreciation prepayments of $303 million, based on the Japanese yen to U.S. dollars exchange rate of ¥157.86 as of such date, payable as follows: $60 million for the remaining of fiscal year 2025, $30 million in fiscal year 2026, $111 million in fiscal year 2027, $89 million in fiscal year 2028 and $13 million in fiscal year 2029. As of December 27, 2024, in addition to the requirements to make building depreciation prepayments, the Company will also make payments for building depreciation of approximately $107 million at varying dates through fiscal year 2035.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Inventory Purchase Commitments with Flash Ventures.</w:t>
      </w:r>
      <w:r>
        <w:rPr>
          <w:rFonts w:ascii="Times New Roman" w:hAnsi="Times New Roman"/>
          <w:sz w:val="20"/>
        </w:rPr>
        <w:t xml:space="preserve"> Purchase orders placed with Flash Ventures for up to three months are binding and cannot be canceled. </w:t>
      </w:r>
    </w:p>
    <w:p>
      <w:pPr>
        <w:pStyle w:val="TextBody"/>
        <w:bidi w:val="0"/>
        <w:spacing w:before="240" w:after="0"/>
        <w:jc w:val="left"/>
        <w:rPr>
          <w:rFonts w:ascii="Times New Roman" w:hAnsi="Times New Roman"/>
          <w:sz w:val="20"/>
        </w:rPr>
      </w:pPr>
      <w:r>
        <w:rPr>
          <w:rFonts w:ascii="Times New Roman" w:hAnsi="Times New Roman"/>
          <w:i/>
          <w:sz w:val="20"/>
        </w:rPr>
        <w:t>Research and Development Activities.</w:t>
      </w:r>
      <w:r>
        <w:rPr>
          <w:rFonts w:ascii="Times New Roman" w:hAnsi="Times New Roman"/>
          <w:sz w:val="20"/>
        </w:rPr>
        <w:t xml:space="preserve"> The Company participates in common research and development (R&amp;D) activities with Kioxia and is contractually committed to a minimum funding level. R&amp;D commitments are immaterial to the Condensed Combined Financial Statements. </w:t>
      </w:r>
    </w:p>
    <w:p>
      <w:pPr>
        <w:pStyle w:val="TextBody"/>
        <w:bidi w:val="0"/>
        <w:spacing w:before="240" w:after="0"/>
        <w:jc w:val="left"/>
        <w:rPr>
          <w:rFonts w:ascii="Times New Roman" w:hAnsi="Times New Roman"/>
          <w:sz w:val="20"/>
        </w:rPr>
      </w:pPr>
      <w:r>
        <w:rPr>
          <w:rFonts w:ascii="Times New Roman" w:hAnsi="Times New Roman"/>
          <w:i/>
          <w:sz w:val="20"/>
        </w:rPr>
        <w:t>Off-Balance Sheet Liabilities.</w:t>
      </w:r>
      <w:r>
        <w:rPr>
          <w:rFonts w:ascii="Times New Roman" w:hAnsi="Times New Roman"/>
          <w:sz w:val="20"/>
        </w:rPr>
        <w:t xml:space="preserve"> Flash Ventures sells to and leases back from a consortium of financial institutions a portion of its tools and has entered into equipment lease agreements of which the Company guarantees half of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portion of the remaining guarantee obligations under the Flash Ventures lease facilities in both Japanese yen and U.S. dollar-equivalent, based upon the Japanese yen to U.S. dollar exchange rate as of December 27,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35"/>
        <w:gridCol w:w="595"/>
        <w:gridCol w:w="388"/>
        <w:gridCol w:w="1065"/>
        <w:gridCol w:w="60"/>
        <w:gridCol w:w="595"/>
        <w:gridCol w:w="289"/>
        <w:gridCol w:w="1165"/>
        <w:gridCol w:w="63"/>
      </w:tblGrid>
      <w:tr>
        <w:trPr/>
        <w:tc>
          <w:tcPr>
            <w:tcW w:w="3535"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53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35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Lease Amounts</w:t>
            </w:r>
          </w:p>
        </w:tc>
        <w:tc>
          <w:tcPr>
            <w:tcW w:w="63" w:type="dxa"/>
            <w:tcBorders/>
            <w:vAlign w:val="bottom"/>
          </w:tcPr>
          <w:p>
            <w:pPr>
              <w:pStyle w:val="TableContents"/>
              <w:bidi w:val="0"/>
              <w:spacing w:before="0" w:after="283"/>
              <w:jc w:val="left"/>
              <w:rPr/>
            </w:pPr>
            <w:r>
              <w:rPr/>
              <w:t> </w:t>
            </w:r>
          </w:p>
        </w:tc>
      </w:tr>
      <w:tr>
        <w:trPr/>
        <w:tc>
          <w:tcPr>
            <w:tcW w:w="353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453" w:type="dxa"/>
            <w:gridSpan w:val="2"/>
            <w:tcBorders/>
            <w:vAlign w:val="bottom"/>
          </w:tcPr>
          <w:p>
            <w:pPr>
              <w:pStyle w:val="TableContents"/>
              <w:bidi w:val="0"/>
              <w:spacing w:before="0" w:after="283"/>
              <w:jc w:val="center"/>
              <w:rPr>
                <w:i/>
              </w:rPr>
            </w:pPr>
            <w:r>
              <w:rPr>
                <w:i/>
              </w:rPr>
              <w:t>(Japanese yen,</w:t>
              <w:br/>
              <w:t>in billions)</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454" w:type="dxa"/>
            <w:gridSpan w:val="2"/>
            <w:tcBorders/>
            <w:vAlign w:val="bottom"/>
          </w:tcPr>
          <w:p>
            <w:pPr>
              <w:pStyle w:val="TableContents"/>
              <w:bidi w:val="0"/>
              <w:spacing w:before="0" w:after="283"/>
              <w:jc w:val="center"/>
              <w:rPr>
                <w:i/>
              </w:rPr>
            </w:pPr>
            <w:r>
              <w:rPr>
                <w:i/>
              </w:rPr>
              <w:t>(U.S. dollar, in</w:t>
              <w:br/>
              <w:t>millions)</w:t>
            </w:r>
          </w:p>
        </w:tc>
        <w:tc>
          <w:tcPr>
            <w:tcW w:w="63" w:type="dxa"/>
            <w:tcBorders/>
            <w:vAlign w:val="bottom"/>
          </w:tcPr>
          <w:p>
            <w:pPr>
              <w:pStyle w:val="TableContents"/>
              <w:bidi w:val="0"/>
              <w:spacing w:before="0" w:after="283"/>
              <w:jc w:val="left"/>
              <w:rPr/>
            </w:pPr>
            <w:r>
              <w:rPr/>
              <w:t> </w:t>
            </w:r>
          </w:p>
        </w:tc>
      </w:tr>
      <w:tr>
        <w:trPr/>
        <w:tc>
          <w:tcPr>
            <w:tcW w:w="3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guarantee obligations</w:t>
            </w:r>
          </w:p>
        </w:tc>
        <w:tc>
          <w:tcPr>
            <w:tcW w:w="595"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212</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1,343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the breakdown of the Companys remaining guarantee obligations between the principal amortization and the purchase option exercise price at the end of the term of the Flash Ventures lease agreements, in annual installments, in U.S. dollars, based upon the Japanese yen to U.S. dollar exchange rate as of December 27,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22"/>
        <w:gridCol w:w="426"/>
        <w:gridCol w:w="374"/>
        <w:gridCol w:w="1027"/>
        <w:gridCol w:w="60"/>
        <w:gridCol w:w="426"/>
        <w:gridCol w:w="397"/>
        <w:gridCol w:w="1087"/>
        <w:gridCol w:w="60"/>
        <w:gridCol w:w="426"/>
        <w:gridCol w:w="220"/>
        <w:gridCol w:w="882"/>
        <w:gridCol w:w="65"/>
      </w:tblGrid>
      <w:tr>
        <w:trPr/>
        <w:tc>
          <w:tcPr>
            <w:tcW w:w="3122"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Annual Installments</w:t>
            </w:r>
          </w:p>
        </w:tc>
        <w:tc>
          <w:tcPr>
            <w:tcW w:w="426"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pPr>
            <w:r>
              <w:rPr>
                <w:b/>
              </w:rPr>
              <w:t>Payment of</w:t>
            </w:r>
            <w:r>
              <w:rPr/>
              <w:br/>
            </w:r>
            <w:r>
              <w:rPr>
                <w:b/>
              </w:rPr>
              <w:t>Principal</w:t>
            </w:r>
            <w:r>
              <w:rPr/>
              <w:br/>
            </w:r>
            <w:r>
              <w:rPr>
                <w:b/>
              </w:rPr>
              <w:t>Amortization</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pPr>
            <w:r>
              <w:rPr>
                <w:b/>
              </w:rPr>
              <w:t>Purchase</w:t>
            </w:r>
            <w:r>
              <w:rPr/>
              <w:br/>
            </w:r>
            <w:r>
              <w:rPr>
                <w:b/>
              </w:rPr>
              <w:t>Option</w:t>
            </w:r>
            <w:r>
              <w:rPr/>
              <w:br/>
            </w:r>
            <w:r>
              <w:rPr>
                <w:b/>
              </w:rPr>
              <w:t>Exercise Price</w:t>
            </w:r>
            <w:r>
              <w:rPr/>
              <w:br/>
            </w:r>
            <w:r>
              <w:rPr>
                <w:b/>
              </w:rPr>
              <w:t>at Final Lease</w:t>
            </w:r>
            <w:r>
              <w:rPr/>
              <w:br/>
            </w:r>
            <w:r>
              <w:rPr>
                <w:b/>
              </w:rPr>
              <w:t>Terms</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pPr>
            <w:r>
              <w:rPr>
                <w:b/>
              </w:rPr>
              <w:t>Guarantee</w:t>
            </w:r>
            <w:r>
              <w:rPr/>
              <w:br/>
            </w:r>
            <w:r>
              <w:rPr>
                <w:b/>
              </w:rPr>
              <w:t>Amount</w:t>
            </w:r>
          </w:p>
        </w:tc>
        <w:tc>
          <w:tcPr>
            <w:tcW w:w="65"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4959" w:type="dxa"/>
            <w:gridSpan w:val="10"/>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Remaining six months of 2025</w:t>
            </w:r>
          </w:p>
        </w:tc>
        <w:tc>
          <w:tcPr>
            <w:tcW w:w="42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201</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250</w:t>
            </w:r>
          </w:p>
        </w:tc>
        <w:tc>
          <w:tcPr>
            <w:tcW w:w="65"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406</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519</w:t>
            </w:r>
          </w:p>
        </w:tc>
        <w:tc>
          <w:tcPr>
            <w:tcW w:w="65"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198</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97</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295</w:t>
            </w:r>
          </w:p>
        </w:tc>
        <w:tc>
          <w:tcPr>
            <w:tcW w:w="65"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176</w:t>
            </w:r>
          </w:p>
        </w:tc>
        <w:tc>
          <w:tcPr>
            <w:tcW w:w="65"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2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75</w:t>
            </w:r>
          </w:p>
        </w:tc>
        <w:tc>
          <w:tcPr>
            <w:tcW w:w="65"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guarantee obligations</w:t>
            </w:r>
          </w:p>
        </w:tc>
        <w:tc>
          <w:tcPr>
            <w:tcW w:w="42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917</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426</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1,343</w:t>
            </w:r>
          </w:p>
        </w:tc>
        <w:tc>
          <w:tcPr>
            <w:tcW w:w="65"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397"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and Kioxia have agreed to mutually contribute to and indemnify each other and Flash Ventures for environmental remediation costs or liabilities resulting from Flash Ventures manufacturing operations in certain circumstances. The Company has not made any indemnification payments nor recorded any indemnification receivables under any such agreements. As of December 27, 2024, no amounts have been accrued in the Condensed Combined Financial Statements with respect to these indemnification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Unis Venture </w:t>
      </w:r>
    </w:p>
    <w:p>
      <w:pPr>
        <w:pStyle w:val="TextBody"/>
        <w:bidi w:val="0"/>
        <w:spacing w:before="120" w:after="0"/>
        <w:jc w:val="left"/>
        <w:rPr>
          <w:rFonts w:ascii="Times New Roman" w:hAnsi="Times New Roman"/>
          <w:sz w:val="20"/>
        </w:rPr>
      </w:pPr>
      <w:r>
        <w:rPr>
          <w:rFonts w:ascii="Times New Roman" w:hAnsi="Times New Roman"/>
          <w:sz w:val="20"/>
        </w:rPr>
        <w:t xml:space="preserve">WDC also has a venture with Unisplendour Corporation Limited and Unissoft (Wuxi) Group Co. Ltd. (Unis), referred to as the Unis Venture, to market and sell the Companys products in China and to develop data storage systems for the Chinese market in the future. On January 24, 2025, the Company and WDC entered into an equity transfer agreement (the Equity Transfer Agreement) to transfer WDCs entire equity interest in the Unis Venture to us. Therefore, subsequent to the end of the second quarter of fiscal 2025, the Unis Venture will be minority owned by the Company and majority-owned by Unis.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execution of the Equity Transfer Agreement, the Unis Venture was not historically managed as a component of the Company and as such, the related equity method investment is not reflected within our Condensed Combined Financial Statements. For the six months ended December 27, 2024, and December 29, 2023, the Company recognized approximately 1% and 1%, respectively, of its combined revenue on products distributed by the Unis Venture. The outstanding accounts receivable due from the Unis Venture were 1% and 4% of Accounts receivable, net, as of December 27, 2024 and June 28,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of a Majority Interest in a Subsidiary </w:t>
      </w:r>
    </w:p>
    <w:p>
      <w:pPr>
        <w:pStyle w:val="TextBody"/>
        <w:bidi w:val="0"/>
        <w:spacing w:before="120" w:after="0"/>
        <w:jc w:val="left"/>
        <w:rPr>
          <w:rFonts w:ascii="Times New Roman" w:hAnsi="Times New Roman"/>
          <w:sz w:val="20"/>
        </w:rPr>
      </w:pPr>
      <w:r>
        <w:rPr>
          <w:rFonts w:ascii="Times New Roman" w:hAnsi="Times New Roman"/>
          <w:sz w:val="20"/>
        </w:rPr>
        <w:t xml:space="preserve">In March 2024, SanDisk China Limited (SanDisk China), an indirect wholly-owned subsidiary of WDC, entered into an equity purchase agreement to sell 80% of its equity interest in SanDisk Semiconductor (Shanghai) Co. Ltd. (SDSS) an indirect wholly-owned subsidiary of WDC which holds one of the Companys manufacturing facilities, to JCET Management Co., Ltd. (JCET), a wholly-owned subsidiary of JCET Group Co., Ltd., a Chinese publicly-listed company, thereby forming a venture between SanDisk China and JCET (the Transaction). The venture aims to provide independent semiconductor assembly, testing, and other related services in the Peoples Republic of China for customers including, but not limited to,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closed on September 28, 2024, and SanDisk China completed the sale of 80% of its equity interest in SDSS to JCET. </w:t>
      </w:r>
    </w:p>
    <w:p>
      <w:pPr>
        <w:pStyle w:val="TextBody"/>
        <w:bidi w:val="0"/>
        <w:spacing w:before="240" w:after="0"/>
        <w:jc w:val="left"/>
        <w:rPr>
          <w:rFonts w:ascii="Times New Roman" w:hAnsi="Times New Roman"/>
          <w:sz w:val="20"/>
        </w:rPr>
      </w:pPr>
      <w:r>
        <w:rPr>
          <w:rFonts w:ascii="Times New Roman" w:hAnsi="Times New Roman"/>
          <w:sz w:val="20"/>
        </w:rPr>
        <w:t xml:space="preserve">Proceeds from the sale, including working capital adjustments, were $659 million (pre-tax). On October 1, 2024, the Company received an initial pre-tax installment of $262 million. On January 6, 2025, the Company received a second pre-tax installment of $210 million and expects to receive remaining pre-tax proceeds of $187 million in five installments of approximately $37 million on September 28 of each year through September 28, 2029. As of December 27, 2024, the outstanding consideration receivable was recognized at its present value of $370 million, with $243 million classified as Other current assets and $127 million classified as Other non-current assets in the Condensed Combined Balance Sheets. The present value discount of $27 million as of December 27, 2024 will be recognized using the effective interest method over the next five years as Interest income in the Condensed Combined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20% retained interest in SDSS was determined to be valued at $158 million based on the fair value of the total pre-tax consideration received and receivable from JCET for its purchase of its 80% interest in SDSS. The Company accounts for its 20% interest in SDSS as an equity method investment within Other non-current assets in the Condensed Combined Balance Sheets. The Companys 20% interest in the earnings of SDSS will be recognized one quarter in arrears and will be reported in Other expense, net in the Condensed Combined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resulted in a pre-tax gain of $34 million, calculated as the difference between the total consideration for the sale, including the outstanding consideration receivable and the fair value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20% retained interest, less the carrying value of the net assets divested, which included, among other items, $71 million of cash and cash equivalents and $382 million of goodwill allocated to SDSS. </w:t>
      </w:r>
    </w:p>
    <w:p>
      <w:pPr>
        <w:pStyle w:val="TextBody"/>
        <w:bidi w:val="0"/>
        <w:spacing w:before="240" w:after="0"/>
        <w:jc w:val="left"/>
        <w:rPr>
          <w:rFonts w:ascii="Times New Roman" w:hAnsi="Times New Roman"/>
          <w:sz w:val="20"/>
        </w:rPr>
      </w:pPr>
      <w:r>
        <w:rPr>
          <w:rFonts w:ascii="Times New Roman" w:hAnsi="Times New Roman"/>
          <w:sz w:val="20"/>
        </w:rPr>
        <w:t xml:space="preserve">Subsequent to and in connection with the Transaction, Western Digital Technologies, Inc. (WDT) entered into a five-year supply agreement with SDSS (the Supply Agreement) to purchase certain flash-based products with a minimum annual commitment of $550 million (the minimum annual commitment). On January 10, 2025, the Company and WDT entered into an assignment agreement, pursuant to which, WDT assigned all of its rights and obligations under the Supply Agreement to the Company. The Supply Agreement contains specific penalties the Company must pay if SDSS fails to meet its minimum annual commitment. The Supply Agreement also provides that if SDSS purchases exceed the minimum annual commitment in any of the two years immediately succeeding any annual period where a shortfall penalty has been paid, SDSS shall reimburse the Company an amount not exceeding the previously paid penalty amount. The Supply Agreement expires on September 28, 2029, and automatically renews for additional one-year terms unless earlier terminated by either of the parties. The Company also entered into an agreement to grant SDSS certain intellectual property rights on a royalty-free basis for use in manufacturing products on the Companys behalf for the term of and under the Supply Agreement. For the six months ended December 27, 2024, the Company made purchases of $111 million under the Supply Agreement and had an accounts payable balance due to SDSS of $117 million as of December 27,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entered into an arrangement to provide certain transition services for a limited period following the closing of the Transaction. Charges under this arrangement were not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i/>
          <w:sz w:val="20"/>
        </w:rPr>
        <w:t>Notes Due to (from) Parent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Prior to the separation, the Company received financing from certain of WDCs subsidiaries in the form of borrowings under revolving credit agreements and promissory notes to fund activities primarily related to Flash Ventures. Additionally, cash generated by the Company was lent from time to time via promissory notes to certain of WDCs subsidiaries for use in general corporate purposes. Outstanding balances due under these financing arrangements are due on demand.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presents a summary of the outstanding borrowings between the Company and subsidiaries of WDC for the periods presented, inclusive of any associated interest payable or interest receivable: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2"/>
        <w:gridCol w:w="218"/>
        <w:gridCol w:w="5043"/>
        <w:gridCol w:w="218"/>
        <w:gridCol w:w="392"/>
        <w:gridCol w:w="1049"/>
        <w:gridCol w:w="60"/>
        <w:gridCol w:w="218"/>
        <w:gridCol w:w="205"/>
        <w:gridCol w:w="671"/>
        <w:gridCol w:w="159"/>
      </w:tblGrid>
      <w:tr>
        <w:trPr/>
        <w:tc>
          <w:tcPr>
            <w:tcW w:w="1972"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5043"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0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Interest Rate</w:t>
            </w:r>
          </w:p>
        </w:tc>
        <w:tc>
          <w:tcPr>
            <w:tcW w:w="218"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159" w:type="dxa"/>
            <w:tcBorders/>
            <w:vAlign w:val="bottom"/>
          </w:tcPr>
          <w:p>
            <w:pPr>
              <w:pStyle w:val="TableContents"/>
              <w:bidi w:val="0"/>
              <w:spacing w:before="0" w:after="283"/>
              <w:jc w:val="left"/>
              <w:rPr/>
            </w:pPr>
            <w:r>
              <w:rPr/>
              <w:t> </w:t>
            </w:r>
          </w:p>
        </w:tc>
      </w:tr>
      <w:tr>
        <w:trPr/>
        <w:tc>
          <w:tcPr>
            <w:tcW w:w="197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04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95" w:type="dxa"/>
            <w:gridSpan w:val="6"/>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19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Notes due from Parent</w:t>
            </w:r>
          </w:p>
        </w:tc>
        <w:tc>
          <w:tcPr>
            <w:tcW w:w="218" w:type="dxa"/>
            <w:tcBorders/>
            <w:shd w:fill="CCEEFF" w:val="clear"/>
            <w:vAlign w:val="bottom"/>
          </w:tcPr>
          <w:p>
            <w:pPr>
              <w:pStyle w:val="TableContents"/>
              <w:bidi w:val="0"/>
              <w:spacing w:before="0" w:after="283"/>
              <w:jc w:val="left"/>
              <w:rPr/>
            </w:pPr>
            <w:r>
              <w:rPr/>
              <w:t>  </w:t>
            </w:r>
          </w:p>
        </w:tc>
        <w:tc>
          <w:tcPr>
            <w:tcW w:w="504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10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67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1972"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due from Parent $101M - Oct. 3, 2019</w:t>
            </w:r>
          </w:p>
        </w:tc>
        <w:tc>
          <w:tcPr>
            <w:tcW w:w="218" w:type="dxa"/>
            <w:tcBorders/>
            <w:vAlign w:val="bottom"/>
          </w:tcPr>
          <w:p>
            <w:pPr>
              <w:pStyle w:val="TableContents"/>
              <w:bidi w:val="0"/>
              <w:spacing w:before="0" w:after="283"/>
              <w:jc w:val="left"/>
              <w:rPr/>
            </w:pPr>
            <w:r>
              <w:rPr/>
              <w:t>  </w:t>
            </w:r>
          </w:p>
        </w:tc>
        <w:tc>
          <w:tcPr>
            <w:tcW w:w="5043" w:type="dxa"/>
            <w:tcBorders/>
            <w:vAlign w:val="bottom"/>
          </w:tcPr>
          <w:p>
            <w:pPr>
              <w:pStyle w:val="TableContents"/>
              <w:bidi w:val="0"/>
              <w:spacing w:before="0" w:after="283"/>
              <w:jc w:val="left"/>
              <w:rPr/>
            </w:pPr>
            <w:r>
              <w:rPr/>
              <w:t>AFR Rate (USD) or TIBOR + .35% (YEN)</w:t>
            </w:r>
          </w:p>
        </w:tc>
        <w:tc>
          <w:tcPr>
            <w:tcW w:w="21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(102</w:t>
            </w:r>
          </w:p>
        </w:tc>
        <w:tc>
          <w:tcPr>
            <w:tcW w:w="159" w:type="dxa"/>
            <w:tcBorders/>
            <w:vAlign w:val="bottom"/>
          </w:tcPr>
          <w:p>
            <w:pPr>
              <w:pStyle w:val="TableContents"/>
              <w:bidi w:val="0"/>
              <w:spacing w:before="0" w:after="283"/>
              <w:jc w:val="left"/>
              <w:rPr/>
            </w:pPr>
            <w:r>
              <w:rPr/>
              <w:t>) </w:t>
            </w:r>
          </w:p>
        </w:tc>
      </w:tr>
      <w:tr>
        <w:trPr/>
        <w:tc>
          <w:tcPr>
            <w:tcW w:w="197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50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392"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Notes due from Parent</w:t>
            </w:r>
          </w:p>
        </w:tc>
        <w:tc>
          <w:tcPr>
            <w:tcW w:w="218" w:type="dxa"/>
            <w:tcBorders/>
            <w:shd w:fill="CCEEFF" w:val="clear"/>
            <w:vAlign w:val="bottom"/>
          </w:tcPr>
          <w:p>
            <w:pPr>
              <w:pStyle w:val="TableContents"/>
              <w:bidi w:val="0"/>
              <w:spacing w:before="0" w:after="283"/>
              <w:jc w:val="left"/>
              <w:rPr/>
            </w:pPr>
            <w:r>
              <w:rPr/>
              <w:t>  </w:t>
            </w:r>
          </w:p>
        </w:tc>
        <w:tc>
          <w:tcPr>
            <w:tcW w:w="5043"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(102</w:t>
            </w:r>
          </w:p>
        </w:tc>
        <w:tc>
          <w:tcPr>
            <w:tcW w:w="159" w:type="dxa"/>
            <w:tcBorders/>
            <w:shd w:fill="CCEEFF" w:val="clear"/>
            <w:vAlign w:val="bottom"/>
          </w:tcPr>
          <w:p>
            <w:pPr>
              <w:pStyle w:val="TableContents"/>
              <w:bidi w:val="0"/>
              <w:spacing w:before="0" w:after="283"/>
              <w:jc w:val="left"/>
              <w:rPr/>
            </w:pPr>
            <w:r>
              <w:rPr/>
              <w:t>) </w:t>
            </w:r>
          </w:p>
        </w:tc>
      </w:tr>
      <w:tr>
        <w:trPr/>
        <w:tc>
          <w:tcPr>
            <w:tcW w:w="1972"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50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392"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972" w:type="dxa"/>
            <w:tcBorders/>
          </w:tcPr>
          <w:p>
            <w:pPr>
              <w:pStyle w:val="TableContents"/>
              <w:bidi w:val="0"/>
              <w:spacing w:before="0" w:after="0"/>
              <w:jc w:val="left"/>
              <w:rPr>
                <w:rFonts w:ascii="Times New Roman" w:hAnsi="Times New Roman"/>
                <w:b/>
                <w:sz w:val="20"/>
              </w:rPr>
            </w:pPr>
            <w:r>
              <w:rPr>
                <w:rFonts w:ascii="Times New Roman" w:hAnsi="Times New Roman"/>
                <w:b/>
                <w:sz w:val="20"/>
              </w:rPr>
              <w:t>Notes due to Parent</w:t>
            </w:r>
          </w:p>
        </w:tc>
        <w:tc>
          <w:tcPr>
            <w:tcW w:w="218" w:type="dxa"/>
            <w:tcBorders/>
            <w:vAlign w:val="bottom"/>
          </w:tcPr>
          <w:p>
            <w:pPr>
              <w:pStyle w:val="TableContents"/>
              <w:bidi w:val="0"/>
              <w:spacing w:before="0" w:after="283"/>
              <w:jc w:val="left"/>
              <w:rPr/>
            </w:pPr>
            <w:r>
              <w:rPr/>
              <w:t>  </w:t>
            </w:r>
          </w:p>
        </w:tc>
        <w:tc>
          <w:tcPr>
            <w:tcW w:w="50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sz w:val="4"/>
                <w:szCs w:val="4"/>
              </w:rPr>
            </w:pPr>
            <w:r>
              <w:rPr>
                <w:sz w:val="4"/>
                <w:szCs w:val="4"/>
              </w:rPr>
            </w:r>
          </w:p>
        </w:tc>
        <w:tc>
          <w:tcPr>
            <w:tcW w:w="10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Agreement due to Parent $1B - Sep. 27, 2024</w:t>
            </w:r>
          </w:p>
        </w:tc>
        <w:tc>
          <w:tcPr>
            <w:tcW w:w="218" w:type="dxa"/>
            <w:tcBorders/>
            <w:shd w:fill="CCEEFF" w:val="clear"/>
            <w:vAlign w:val="bottom"/>
          </w:tcPr>
          <w:p>
            <w:pPr>
              <w:pStyle w:val="TableContents"/>
              <w:bidi w:val="0"/>
              <w:spacing w:before="0" w:after="283"/>
              <w:jc w:val="left"/>
              <w:rPr/>
            </w:pPr>
            <w:r>
              <w:rPr/>
              <w:t>  </w:t>
            </w:r>
          </w:p>
        </w:tc>
        <w:tc>
          <w:tcPr>
            <w:tcW w:w="5043" w:type="dxa"/>
            <w:tcBorders/>
            <w:shd w:fill="CCEEFF" w:val="clear"/>
            <w:vAlign w:val="bottom"/>
          </w:tcPr>
          <w:p>
            <w:pPr>
              <w:pStyle w:val="TableContents"/>
              <w:bidi w:val="0"/>
              <w:spacing w:before="0" w:after="283"/>
              <w:jc w:val="left"/>
              <w:rPr/>
            </w:pPr>
            <w:r>
              <w:rPr/>
              <w:t>SOFR + 1.6%</w:t>
            </w:r>
          </w:p>
        </w:tc>
        <w:tc>
          <w:tcPr>
            <w:tcW w:w="218"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553</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1972" w:type="dxa"/>
            <w:tcBorders/>
          </w:tcPr>
          <w:p>
            <w:pPr>
              <w:pStyle w:val="TableContents"/>
              <w:bidi w:val="0"/>
              <w:spacing w:before="0" w:after="0"/>
              <w:jc w:val="left"/>
              <w:rPr>
                <w:rFonts w:ascii="Times New Roman" w:hAnsi="Times New Roman"/>
                <w:sz w:val="20"/>
              </w:rPr>
            </w:pPr>
            <w:r>
              <w:rPr>
                <w:rFonts w:ascii="Times New Roman" w:hAnsi="Times New Roman"/>
                <w:sz w:val="20"/>
              </w:rPr>
              <w:t>Notes due to Parent $500M - Nov. 25, 2014</w:t>
            </w:r>
          </w:p>
        </w:tc>
        <w:tc>
          <w:tcPr>
            <w:tcW w:w="218" w:type="dxa"/>
            <w:tcBorders/>
            <w:vAlign w:val="bottom"/>
          </w:tcPr>
          <w:p>
            <w:pPr>
              <w:pStyle w:val="TableContents"/>
              <w:bidi w:val="0"/>
              <w:spacing w:before="0" w:after="283"/>
              <w:jc w:val="left"/>
              <w:rPr/>
            </w:pPr>
            <w:r>
              <w:rPr/>
              <w:t>  </w:t>
            </w:r>
          </w:p>
        </w:tc>
        <w:tc>
          <w:tcPr>
            <w:tcW w:w="5043" w:type="dxa"/>
            <w:tcBorders/>
            <w:vAlign w:val="bottom"/>
          </w:tcPr>
          <w:p>
            <w:pPr>
              <w:pStyle w:val="TableContents"/>
              <w:bidi w:val="0"/>
              <w:spacing w:before="0" w:after="283"/>
              <w:jc w:val="left"/>
              <w:rPr/>
            </w:pPr>
            <w:r>
              <w:rPr/>
              <w:t>1-year swap + 2%</w:t>
            </w:r>
          </w:p>
        </w:tc>
        <w:tc>
          <w:tcPr>
            <w:tcW w:w="21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475</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42"/>
        <w:gridCol w:w="270"/>
        <w:gridCol w:w="4420"/>
        <w:gridCol w:w="270"/>
        <w:gridCol w:w="380"/>
        <w:gridCol w:w="1053"/>
        <w:gridCol w:w="60"/>
        <w:gridCol w:w="270"/>
        <w:gridCol w:w="235"/>
        <w:gridCol w:w="641"/>
        <w:gridCol w:w="64"/>
      </w:tblGrid>
      <w:tr>
        <w:trPr/>
        <w:tc>
          <w:tcPr>
            <w:tcW w:w="2542"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442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44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Interest Rate</w:t>
            </w:r>
          </w:p>
        </w:tc>
        <w:tc>
          <w:tcPr>
            <w:tcW w:w="270"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2024</w:t>
            </w:r>
          </w:p>
        </w:tc>
        <w:tc>
          <w:tcPr>
            <w:tcW w:w="64" w:type="dxa"/>
            <w:tcBorders/>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442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639" w:type="dxa"/>
            <w:gridSpan w:val="6"/>
            <w:tcBorders/>
            <w:vAlign w:val="bottom"/>
          </w:tcPr>
          <w:p>
            <w:pPr>
              <w:pStyle w:val="TableContents"/>
              <w:bidi w:val="0"/>
              <w:spacing w:before="0" w:after="283"/>
              <w:jc w:val="center"/>
              <w:rPr>
                <w:i/>
              </w:rPr>
            </w:pPr>
            <w:r>
              <w:rPr>
                <w:i/>
              </w:rPr>
              <w:t>(in millions)</w:t>
            </w:r>
          </w:p>
        </w:tc>
        <w:tc>
          <w:tcPr>
            <w:tcW w:w="64" w:type="dxa"/>
            <w:tcBorders/>
            <w:vAlign w:val="bottom"/>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Due to Parent $42B Yen - Apr. 29, 2014</w:t>
            </w:r>
          </w:p>
        </w:tc>
        <w:tc>
          <w:tcPr>
            <w:tcW w:w="270" w:type="dxa"/>
            <w:tcBorders/>
            <w:shd w:fill="CCEEFF" w:val="clear"/>
            <w:vAlign w:val="bottom"/>
          </w:tcPr>
          <w:p>
            <w:pPr>
              <w:pStyle w:val="TableContents"/>
              <w:bidi w:val="0"/>
              <w:spacing w:before="0" w:after="283"/>
              <w:jc w:val="left"/>
              <w:rPr/>
            </w:pPr>
            <w:r>
              <w:rPr/>
              <w:t>  </w:t>
            </w:r>
          </w:p>
        </w:tc>
        <w:tc>
          <w:tcPr>
            <w:tcW w:w="4420" w:type="dxa"/>
            <w:tcBorders/>
            <w:shd w:fill="CCEEFF" w:val="clear"/>
            <w:vAlign w:val="bottom"/>
          </w:tcPr>
          <w:p>
            <w:pPr>
              <w:pStyle w:val="TableContents"/>
              <w:bidi w:val="0"/>
              <w:spacing w:before="0" w:after="283"/>
              <w:jc w:val="left"/>
              <w:rPr/>
            </w:pPr>
            <w:r>
              <w:rPr/>
              <w:t>TIBOR + .35%</w:t>
            </w:r>
          </w:p>
        </w:tc>
        <w:tc>
          <w:tcPr>
            <w:tcW w:w="27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262</w:t>
            </w:r>
          </w:p>
        </w:tc>
        <w:tc>
          <w:tcPr>
            <w:tcW w:w="64" w:type="dxa"/>
            <w:tcBorders/>
            <w:shd w:fill="CCEEFF" w:val="clear"/>
            <w:vAlign w:val="bottom"/>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Agreement due to Parent $100M - Aug. 20, 2021</w:t>
            </w:r>
          </w:p>
        </w:tc>
        <w:tc>
          <w:tcPr>
            <w:tcW w:w="270" w:type="dxa"/>
            <w:tcBorders/>
            <w:vAlign w:val="bottom"/>
          </w:tcPr>
          <w:p>
            <w:pPr>
              <w:pStyle w:val="TableContents"/>
              <w:bidi w:val="0"/>
              <w:spacing w:before="0" w:after="283"/>
              <w:jc w:val="left"/>
              <w:rPr/>
            </w:pPr>
            <w:r>
              <w:rPr/>
              <w:t>  </w:t>
            </w:r>
          </w:p>
        </w:tc>
        <w:tc>
          <w:tcPr>
            <w:tcW w:w="4420" w:type="dxa"/>
            <w:tcBorders/>
            <w:vAlign w:val="bottom"/>
          </w:tcPr>
          <w:p>
            <w:pPr>
              <w:pStyle w:val="TableContents"/>
              <w:bidi w:val="0"/>
              <w:spacing w:before="0" w:after="283"/>
              <w:jc w:val="left"/>
              <w:rPr/>
            </w:pPr>
            <w:r>
              <w:rPr/>
              <w:t>LIBOR Rate + 150 basis points</w:t>
            </w:r>
          </w:p>
        </w:tc>
        <w:tc>
          <w:tcPr>
            <w:tcW w:w="27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442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Notes due to Parent</w:t>
            </w:r>
          </w:p>
        </w:tc>
        <w:tc>
          <w:tcPr>
            <w:tcW w:w="270" w:type="dxa"/>
            <w:tcBorders/>
            <w:shd w:fill="CCEEFF" w:val="clear"/>
            <w:vAlign w:val="bottom"/>
          </w:tcPr>
          <w:p>
            <w:pPr>
              <w:pStyle w:val="TableContents"/>
              <w:bidi w:val="0"/>
              <w:spacing w:before="0" w:after="283"/>
              <w:jc w:val="left"/>
              <w:rPr/>
            </w:pPr>
            <w:r>
              <w:rPr/>
              <w:t>  </w:t>
            </w:r>
          </w:p>
        </w:tc>
        <w:tc>
          <w:tcPr>
            <w:tcW w:w="4420"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553</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814</w:t>
            </w:r>
          </w:p>
        </w:tc>
        <w:tc>
          <w:tcPr>
            <w:tcW w:w="64" w:type="dxa"/>
            <w:tcBorders/>
            <w:shd w:fill="CCEEFF" w:val="clear"/>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442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42" w:type="dxa"/>
            <w:tcBorders/>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4420" w:type="dxa"/>
            <w:tcBorders/>
            <w:vAlign w:val="bottom"/>
          </w:tcPr>
          <w:p>
            <w:pPr>
              <w:pStyle w:val="TableContents"/>
              <w:bidi w:val="0"/>
              <w:spacing w:before="0" w:after="283"/>
              <w:jc w:val="left"/>
              <w:rPr>
                <w:b/>
              </w:rPr>
            </w:pPr>
            <w:r>
              <w:rPr>
                <w:b/>
              </w:rPr>
              <w:t>Total Notes due to Parent, net</w:t>
            </w:r>
          </w:p>
        </w:tc>
        <w:tc>
          <w:tcPr>
            <w:tcW w:w="27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b/>
              </w:rPr>
            </w:pPr>
            <w:r>
              <w:rPr>
                <w:b/>
              </w:rPr>
              <w:t>$</w:t>
            </w:r>
          </w:p>
        </w:tc>
        <w:tc>
          <w:tcPr>
            <w:tcW w:w="1053" w:type="dxa"/>
            <w:tcBorders/>
            <w:vAlign w:val="bottom"/>
          </w:tcPr>
          <w:p>
            <w:pPr>
              <w:pStyle w:val="TableContents"/>
              <w:bidi w:val="0"/>
              <w:spacing w:before="0" w:after="283"/>
              <w:jc w:val="right"/>
              <w:rPr>
                <w:b/>
              </w:rPr>
            </w:pPr>
            <w:r>
              <w:rPr>
                <w:b/>
              </w:rPr>
              <w:t>553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b/>
              </w:rPr>
            </w:pPr>
            <w:r>
              <w:rPr>
                <w:b/>
              </w:rPr>
              <w:t>$</w:t>
            </w:r>
          </w:p>
        </w:tc>
        <w:tc>
          <w:tcPr>
            <w:tcW w:w="641" w:type="dxa"/>
            <w:tcBorders/>
            <w:vAlign w:val="bottom"/>
          </w:tcPr>
          <w:p>
            <w:pPr>
              <w:pStyle w:val="TableContents"/>
              <w:bidi w:val="0"/>
              <w:spacing w:before="0" w:after="283"/>
              <w:jc w:val="right"/>
              <w:rPr>
                <w:b/>
              </w:rPr>
            </w:pPr>
            <w:r>
              <w:rPr>
                <w:b/>
              </w:rPr>
              <w:t>712</w:t>
            </w:r>
          </w:p>
        </w:tc>
        <w:tc>
          <w:tcPr>
            <w:tcW w:w="64" w:type="dxa"/>
            <w:tcBorders/>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442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presents interest expense and interest income on notes due to (from) Parent, which have been recorded within Interest expense and Interest income in the Condensed Combined Statements of Operations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10"/>
        <w:gridCol w:w="696"/>
        <w:gridCol w:w="558"/>
        <w:gridCol w:w="863"/>
        <w:gridCol w:w="155"/>
        <w:gridCol w:w="696"/>
        <w:gridCol w:w="495"/>
        <w:gridCol w:w="923"/>
        <w:gridCol w:w="159"/>
      </w:tblGrid>
      <w:tr>
        <w:trPr/>
        <w:tc>
          <w:tcPr>
            <w:tcW w:w="3210" w:type="dxa"/>
            <w:tcBorders/>
            <w:vAlign w:val="center"/>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1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36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9" w:type="dxa"/>
            <w:tcBorders/>
            <w:vAlign w:val="bottom"/>
          </w:tcPr>
          <w:p>
            <w:pPr>
              <w:pStyle w:val="TableContents"/>
              <w:bidi w:val="0"/>
              <w:spacing w:before="0" w:after="283"/>
              <w:jc w:val="left"/>
              <w:rPr/>
            </w:pPr>
            <w:r>
              <w:rPr/>
              <w:t> </w:t>
            </w:r>
          </w:p>
        </w:tc>
      </w:tr>
      <w:tr>
        <w:trPr/>
        <w:tc>
          <w:tcPr>
            <w:tcW w:w="321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155"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29,</w:t>
            </w:r>
            <w:r>
              <w:rPr/>
              <w:br/>
            </w:r>
            <w:r>
              <w:rPr>
                <w:b/>
              </w:rPr>
              <w:t>2023</w:t>
            </w:r>
          </w:p>
        </w:tc>
        <w:tc>
          <w:tcPr>
            <w:tcW w:w="159" w:type="dxa"/>
            <w:tcBorders/>
            <w:vAlign w:val="bottom"/>
          </w:tcPr>
          <w:p>
            <w:pPr>
              <w:pStyle w:val="TableContents"/>
              <w:bidi w:val="0"/>
              <w:spacing w:before="0" w:after="283"/>
              <w:jc w:val="left"/>
              <w:rPr/>
            </w:pPr>
            <w:r>
              <w:rPr/>
              <w:t> </w:t>
            </w:r>
          </w:p>
        </w:tc>
      </w:tr>
      <w:tr>
        <w:trPr/>
        <w:tc>
          <w:tcPr>
            <w:tcW w:w="321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3690" w:type="dxa"/>
            <w:gridSpan w:val="6"/>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on notes due to Parent</w:t>
            </w:r>
          </w:p>
        </w:tc>
        <w:tc>
          <w:tcPr>
            <w:tcW w:w="69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bidi w:val="0"/>
              <w:spacing w:before="0" w:after="283"/>
              <w:jc w:val="left"/>
              <w:rPr/>
            </w:pPr>
            <w:r>
              <w:rPr/>
              <w:t>$</w:t>
            </w:r>
          </w:p>
        </w:tc>
        <w:tc>
          <w:tcPr>
            <w:tcW w:w="863"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20</w:t>
            </w:r>
          </w:p>
        </w:tc>
        <w:tc>
          <w:tcPr>
            <w:tcW w:w="159"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on notes due from Parent</w:t>
            </w:r>
          </w:p>
        </w:tc>
        <w:tc>
          <w:tcPr>
            <w:tcW w:w="696"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3"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i/>
          <w:sz w:val="20"/>
        </w:rPr>
        <w:t>Allocation of Corporate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WDC has provided various corporate services to the Company in the ordinary course of business, including executive management, finance, tax, legal, information technology, employee benefits administration, treasury, risk management, procurement and other shared services. These corporate expenses have been allocated to the Company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 </w:t>
      </w:r>
    </w:p>
    <w:p>
      <w:pPr>
        <w:pStyle w:val="TextBody"/>
        <w:bidi w:val="0"/>
        <w:spacing w:before="240" w:after="0"/>
        <w:jc w:val="left"/>
        <w:rPr>
          <w:rFonts w:ascii="Times New Roman" w:hAnsi="Times New Roman"/>
          <w:sz w:val="20"/>
        </w:rPr>
      </w:pPr>
      <w:r>
        <w:rPr>
          <w:rFonts w:ascii="Times New Roman" w:hAnsi="Times New Roman"/>
          <w:sz w:val="20"/>
        </w:rPr>
        <w:t xml:space="preserve">Effective at the beginning of the second quarter of fiscal year 2025, the Company was operationally separated from the operations that were ultimately retained by WDC following completion of the spin-off transaction. In connection with this operational separation, personnel serving the Company in shared service functions were transferred into legal entities dedicated to the Company, and substantially all assets, liabilities, and contracts pertaining to operations of the Company were transferred to legal entities dedicated to the Company as well. Accordingly, there was a substantial reduction in the pool of shared corporate overhead costs of WDC that were subject to allocation in the second quarter of fiscal year 2025.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impact of expense allocations from WDC within the Condensed Combined Statements of Operations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23"/>
        <w:gridCol w:w="587"/>
        <w:gridCol w:w="380"/>
        <w:gridCol w:w="1040"/>
        <w:gridCol w:w="60"/>
        <w:gridCol w:w="587"/>
        <w:gridCol w:w="380"/>
        <w:gridCol w:w="1040"/>
        <w:gridCol w:w="158"/>
      </w:tblGrid>
      <w:tr>
        <w:trPr/>
        <w:tc>
          <w:tcPr>
            <w:tcW w:w="3523"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23"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34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8" w:type="dxa"/>
            <w:tcBorders/>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8" w:type="dxa"/>
            <w:tcBorders/>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3487" w:type="dxa"/>
            <w:gridSpan w:val="6"/>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3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5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330</w:t>
            </w:r>
          </w:p>
        </w:tc>
        <w:tc>
          <w:tcPr>
            <w:tcW w:w="158" w:type="dxa"/>
            <w:tcBorders/>
            <w:shd w:fill="CCEEFF" w:val="clear"/>
            <w:vAlign w:val="bottom"/>
          </w:tcPr>
          <w:p>
            <w:pPr>
              <w:pStyle w:val="TableContents"/>
              <w:bidi w:val="0"/>
              <w:spacing w:before="0" w:after="283"/>
              <w:jc w:val="left"/>
              <w:rPr/>
            </w:pPr>
            <w:r>
              <w:rPr/>
              <w:t> </w:t>
            </w:r>
          </w:p>
        </w:tc>
      </w:tr>
      <w:tr>
        <w:trPr/>
        <w:tc>
          <w:tcPr>
            <w:tcW w:w="352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219</w:t>
            </w:r>
          </w:p>
        </w:tc>
        <w:tc>
          <w:tcPr>
            <w:tcW w:w="158" w:type="dxa"/>
            <w:tcBorders/>
            <w:vAlign w:val="bottom"/>
          </w:tcPr>
          <w:p>
            <w:pPr>
              <w:pStyle w:val="TableContents"/>
              <w:bidi w:val="0"/>
              <w:spacing w:before="0" w:after="283"/>
              <w:jc w:val="left"/>
              <w:rPr/>
            </w:pPr>
            <w:r>
              <w:rPr/>
              <w:t> </w:t>
            </w:r>
          </w:p>
        </w:tc>
      </w:tr>
      <w:tr>
        <w:trPr/>
        <w:tc>
          <w:tcPr>
            <w:tcW w:w="3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separation costs</w:t>
            </w:r>
          </w:p>
        </w:tc>
        <w:tc>
          <w:tcPr>
            <w:tcW w:w="5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34</w:t>
            </w:r>
          </w:p>
        </w:tc>
        <w:tc>
          <w:tcPr>
            <w:tcW w:w="158" w:type="dxa"/>
            <w:tcBorders/>
            <w:shd w:fill="CCEEFF" w:val="clear"/>
            <w:vAlign w:val="bottom"/>
          </w:tcPr>
          <w:p>
            <w:pPr>
              <w:pStyle w:val="TableContents"/>
              <w:bidi w:val="0"/>
              <w:spacing w:before="0" w:after="283"/>
              <w:jc w:val="left"/>
              <w:rPr/>
            </w:pPr>
            <w:r>
              <w:rPr/>
              <w:t> </w:t>
            </w:r>
          </w:p>
        </w:tc>
      </w:tr>
      <w:tr>
        <w:trPr/>
        <w:tc>
          <w:tcPr>
            <w:tcW w:w="3523" w:type="dxa"/>
            <w:tcBorders/>
          </w:tcPr>
          <w:p>
            <w:pPr>
              <w:pStyle w:val="TableContents"/>
              <w:bidi w:val="0"/>
              <w:spacing w:before="0" w:after="0"/>
              <w:jc w:val="left"/>
              <w:rPr>
                <w:rFonts w:ascii="Times New Roman" w:hAnsi="Times New Roman"/>
                <w:sz w:val="20"/>
              </w:rPr>
            </w:pPr>
            <w:r>
              <w:rPr>
                <w:rFonts w:ascii="Times New Roman" w:hAnsi="Times New Roman"/>
                <w:sz w:val="20"/>
              </w:rPr>
              <w:t>Employee termination and other charges</w:t>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(46</w:t>
            </w:r>
          </w:p>
        </w:tc>
        <w:tc>
          <w:tcPr>
            <w:tcW w:w="158" w:type="dxa"/>
            <w:tcBorders/>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allocation of Corporate Expenses</w:t>
            </w:r>
          </w:p>
        </w:tc>
        <w:tc>
          <w:tcPr>
            <w:tcW w:w="5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383</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537</w:t>
            </w:r>
          </w:p>
        </w:tc>
        <w:tc>
          <w:tcPr>
            <w:tcW w:w="158" w:type="dxa"/>
            <w:tcBorders/>
            <w:shd w:fill="CCEEFF" w:val="clear"/>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historical financial statements do not purport to reflect what results of operations, financial position, equity or cash flows would have been if we had operated as a stand-alone company during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Cash Management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separation, WDC provided funding for our operating and investing activities, including pooled cash managed by WDCs treasury, to fund operating expenses and capital expenditures. WDC also directly collected certain of our receivables. These activities are reflected as a component of the Parents net investment, and this arrangement is not reflective of the manner in which we would operate on a stand-alone company separate from WDC during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Parent Company Net Investment </w:t>
      </w:r>
    </w:p>
    <w:p>
      <w:pPr>
        <w:pStyle w:val="TextBody"/>
        <w:bidi w:val="0"/>
        <w:spacing w:before="120" w:after="0"/>
        <w:jc w:val="left"/>
        <w:rPr>
          <w:rFonts w:ascii="Times New Roman" w:hAnsi="Times New Roman"/>
          <w:sz w:val="20"/>
        </w:rPr>
      </w:pPr>
      <w:r>
        <w:rPr>
          <w:rFonts w:ascii="Times New Roman" w:hAnsi="Times New Roman"/>
          <w:sz w:val="20"/>
        </w:rPr>
        <w:t xml:space="preserve">Parent company net investment on the Condensed Combined Balance Sheets represents WDCs historical investment in the Company, the net effect of transactions with and allocations from WDC, the Companys retained earnings and the allocation to the Company of cumulative effect adjustments from the adoption of new accounting standards. </w:t>
      </w:r>
    </w:p>
    <w:p>
      <w:pPr>
        <w:pStyle w:val="TextBody"/>
        <w:bidi w:val="0"/>
        <w:spacing w:before="360" w:after="0"/>
        <w:jc w:val="left"/>
        <w:rPr>
          <w:rFonts w:ascii="Times New Roman" w:hAnsi="Times New Roman"/>
          <w:i/>
          <w:sz w:val="20"/>
        </w:rPr>
      </w:pPr>
      <w:r>
        <w:rPr>
          <w:rFonts w:ascii="Times New Roman" w:hAnsi="Times New Roman"/>
          <w:i/>
          <w:sz w:val="20"/>
        </w:rPr>
        <w:t xml:space="preserve">Net Transfers from (to) Parent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Net transfers from (to) Parent on the Condensed Combined Statements of Changes in Parent Company Net Investment to the corresponding amounts on the Condensed Combined Statements of Cash Flows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28"/>
        <w:gridCol w:w="563"/>
        <w:gridCol w:w="332"/>
        <w:gridCol w:w="1122"/>
        <w:gridCol w:w="155"/>
        <w:gridCol w:w="563"/>
        <w:gridCol w:w="391"/>
        <w:gridCol w:w="1042"/>
        <w:gridCol w:w="159"/>
      </w:tblGrid>
      <w:tr>
        <w:trPr/>
        <w:tc>
          <w:tcPr>
            <w:tcW w:w="3428"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8"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6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9" w:type="dxa"/>
            <w:tcBorders/>
            <w:vAlign w:val="bottom"/>
          </w:tcPr>
          <w:p>
            <w:pPr>
              <w:pStyle w:val="TableContents"/>
              <w:bidi w:val="0"/>
              <w:spacing w:before="0" w:after="283"/>
              <w:jc w:val="left"/>
              <w:rPr/>
            </w:pPr>
            <w:r>
              <w:rPr/>
              <w:t> </w:t>
            </w:r>
          </w:p>
        </w:tc>
      </w:tr>
      <w:tr>
        <w:trPr/>
        <w:tc>
          <w:tcPr>
            <w:tcW w:w="3428"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9" w:type="dxa"/>
            <w:tcBorders/>
            <w:vAlign w:val="bottom"/>
          </w:tcPr>
          <w:p>
            <w:pPr>
              <w:pStyle w:val="TableContents"/>
              <w:bidi w:val="0"/>
              <w:spacing w:before="0" w:after="283"/>
              <w:jc w:val="left"/>
              <w:rPr/>
            </w:pPr>
            <w:r>
              <w:rPr/>
              <w:t> </w:t>
            </w:r>
          </w:p>
        </w:tc>
      </w:tr>
      <w:tr>
        <w:trPr/>
        <w:tc>
          <w:tcPr>
            <w:tcW w:w="3428"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605" w:type="dxa"/>
            <w:gridSpan w:val="6"/>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3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Parent per Condensed Combined Statements of Changes in Parent Company Net Investment</w:t>
            </w:r>
          </w:p>
        </w:tc>
        <w:tc>
          <w:tcPr>
            <w:tcW w:w="56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171</w:t>
            </w:r>
          </w:p>
        </w:tc>
        <w:tc>
          <w:tcPr>
            <w:tcW w:w="159" w:type="dxa"/>
            <w:tcBorders/>
            <w:shd w:fill="CCEEFF" w:val="clear"/>
            <w:vAlign w:val="bottom"/>
          </w:tcPr>
          <w:p>
            <w:pPr>
              <w:pStyle w:val="TableContents"/>
              <w:bidi w:val="0"/>
              <w:spacing w:before="0" w:after="283"/>
              <w:jc w:val="left"/>
              <w:rPr/>
            </w:pPr>
            <w:r>
              <w:rPr/>
              <w:t> </w:t>
            </w:r>
          </w:p>
        </w:tc>
      </w:tr>
      <w:tr>
        <w:trPr/>
        <w:tc>
          <w:tcPr>
            <w:tcW w:w="3428" w:type="dxa"/>
            <w:tcBorders/>
          </w:tcPr>
          <w:p>
            <w:pPr>
              <w:pStyle w:val="TableContents"/>
              <w:bidi w:val="0"/>
              <w:spacing w:before="0" w:after="0"/>
              <w:jc w:val="left"/>
              <w:rPr>
                <w:rFonts w:ascii="Times New Roman" w:hAnsi="Times New Roman"/>
                <w:sz w:val="20"/>
              </w:rPr>
            </w:pPr>
            <w:r>
              <w:rPr>
                <w:rFonts w:ascii="Times New Roman" w:hAnsi="Times New Roman"/>
                <w:sz w:val="20"/>
              </w:rPr>
              <w:t>Liability for unrecognized tax benefits transferred from Parent</w:t>
            </w:r>
          </w:p>
        </w:tc>
        <w:tc>
          <w:tcPr>
            <w:tcW w:w="56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transferred from Parent</w:t>
            </w:r>
          </w:p>
        </w:tc>
        <w:tc>
          <w:tcPr>
            <w:tcW w:w="56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428" w:type="dxa"/>
            <w:tcBorders/>
          </w:tcPr>
          <w:p>
            <w:pPr>
              <w:pStyle w:val="TableContents"/>
              <w:bidi w:val="0"/>
              <w:spacing w:before="0" w:after="0"/>
              <w:jc w:val="left"/>
              <w:rPr>
                <w:rFonts w:ascii="Times New Roman" w:hAnsi="Times New Roman"/>
                <w:sz w:val="20"/>
              </w:rPr>
            </w:pPr>
            <w:r>
              <w:rPr>
                <w:rFonts w:ascii="Times New Roman" w:hAnsi="Times New Roman"/>
                <w:sz w:val="20"/>
              </w:rPr>
              <w:t>Strategic investments transferred from Parent</w:t>
            </w:r>
          </w:p>
        </w:tc>
        <w:tc>
          <w:tcPr>
            <w:tcW w:w="56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and liabilities, net transferred from Parent</w:t>
            </w:r>
          </w:p>
        </w:tc>
        <w:tc>
          <w:tcPr>
            <w:tcW w:w="56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42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 transferred from Parent</w:t>
            </w:r>
          </w:p>
        </w:tc>
        <w:tc>
          <w:tcPr>
            <w:tcW w:w="56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3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due to Parent transferred from Parent</w:t>
            </w:r>
          </w:p>
        </w:tc>
        <w:tc>
          <w:tcPr>
            <w:tcW w:w="56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(673</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428" w:type="dxa"/>
            <w:tcBorders/>
          </w:tcPr>
          <w:p>
            <w:pPr>
              <w:pStyle w:val="TableContents"/>
              <w:bidi w:val="0"/>
              <w:spacing w:before="0" w:after="0"/>
              <w:jc w:val="left"/>
              <w:rPr>
                <w:rFonts w:ascii="Times New Roman" w:hAnsi="Times New Roman"/>
                <w:sz w:val="20"/>
              </w:rPr>
            </w:pPr>
            <w:r>
              <w:rPr>
                <w:rFonts w:ascii="Times New Roman" w:hAnsi="Times New Roman"/>
                <w:sz w:val="20"/>
              </w:rPr>
              <w:t>Notes due from Parent transferred to Parent</w:t>
            </w:r>
          </w:p>
        </w:tc>
        <w:tc>
          <w:tcPr>
            <w:tcW w:w="56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113</w:t>
            </w:r>
          </w:p>
        </w:tc>
        <w:tc>
          <w:tcPr>
            <w:tcW w:w="159" w:type="dxa"/>
            <w:tcBorders/>
            <w:vAlign w:val="bottom"/>
          </w:tcPr>
          <w:p>
            <w:pPr>
              <w:pStyle w:val="TableContents"/>
              <w:bidi w:val="0"/>
              <w:spacing w:before="0" w:after="283"/>
              <w:jc w:val="left"/>
              <w:rPr/>
            </w:pPr>
            <w:r>
              <w:rPr/>
              <w:t> </w:t>
            </w:r>
          </w:p>
        </w:tc>
      </w:tr>
      <w:tr>
        <w:trPr/>
        <w:tc>
          <w:tcPr>
            <w:tcW w:w="3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 net transferred from Parent</w:t>
            </w:r>
          </w:p>
        </w:tc>
        <w:tc>
          <w:tcPr>
            <w:tcW w:w="563"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(8</w:t>
            </w:r>
          </w:p>
        </w:tc>
        <w:tc>
          <w:tcPr>
            <w:tcW w:w="159" w:type="dxa"/>
            <w:tcBorders/>
            <w:shd w:fill="CCEEFF" w:val="clear"/>
            <w:vAlign w:val="bottom"/>
          </w:tcPr>
          <w:p>
            <w:pPr>
              <w:pStyle w:val="TableContents"/>
              <w:bidi w:val="0"/>
              <w:spacing w:before="0" w:after="283"/>
              <w:jc w:val="left"/>
              <w:rPr/>
            </w:pPr>
            <w:r>
              <w:rPr/>
              <w:t>) </w:t>
            </w:r>
          </w:p>
        </w:tc>
      </w:tr>
      <w:tr>
        <w:trPr/>
        <w:tc>
          <w:tcPr>
            <w:tcW w:w="3428"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428"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from (to) Parent per Condensed Combined Statements of Cash Flows</w:t>
            </w:r>
          </w:p>
        </w:tc>
        <w:tc>
          <w:tcPr>
            <w:tcW w:w="563"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(231</w:t>
            </w:r>
          </w:p>
        </w:tc>
        <w:tc>
          <w:tcPr>
            <w:tcW w:w="155"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274</w:t>
            </w:r>
          </w:p>
        </w:tc>
        <w:tc>
          <w:tcPr>
            <w:tcW w:w="159" w:type="dxa"/>
            <w:tcBorders/>
            <w:vAlign w:val="bottom"/>
          </w:tcPr>
          <w:p>
            <w:pPr>
              <w:pStyle w:val="TableContents"/>
              <w:bidi w:val="0"/>
              <w:spacing w:before="0" w:after="283"/>
              <w:jc w:val="left"/>
              <w:rPr/>
            </w:pPr>
            <w:r>
              <w:rPr/>
              <w:t> </w:t>
            </w:r>
          </w:p>
        </w:tc>
      </w:tr>
      <w:tr>
        <w:trPr/>
        <w:tc>
          <w:tcPr>
            <w:tcW w:w="3428"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10. Leases and Other Commitments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leases certain domestic and international facilities and data center space under long-term, non-cancelable operating leases that expire at various dates through fiscal year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right-of-use lease assets and lease liabilities included in the Companys Condensed Combined Balance Sheets: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69"/>
        <w:gridCol w:w="566"/>
        <w:gridCol w:w="382"/>
        <w:gridCol w:w="1054"/>
        <w:gridCol w:w="60"/>
        <w:gridCol w:w="566"/>
        <w:gridCol w:w="235"/>
        <w:gridCol w:w="658"/>
        <w:gridCol w:w="65"/>
      </w:tblGrid>
      <w:tr>
        <w:trPr/>
        <w:tc>
          <w:tcPr>
            <w:tcW w:w="4169" w:type="dxa"/>
            <w:tcBorders/>
            <w:vAlign w:val="center"/>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69"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65" w:type="dxa"/>
            <w:tcBorders/>
            <w:vAlign w:val="bottom"/>
          </w:tcPr>
          <w:p>
            <w:pPr>
              <w:pStyle w:val="TableContents"/>
              <w:bidi w:val="0"/>
              <w:spacing w:before="0" w:after="283"/>
              <w:jc w:val="left"/>
              <w:rPr/>
            </w:pPr>
            <w:r>
              <w:rPr/>
              <w:t> </w:t>
            </w:r>
          </w:p>
        </w:tc>
      </w:tr>
      <w:tr>
        <w:trPr/>
        <w:tc>
          <w:tcPr>
            <w:tcW w:w="4169"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955" w:type="dxa"/>
            <w:gridSpan w:val="6"/>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4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(included in other non-current assets)</w:t>
            </w:r>
          </w:p>
        </w:tc>
        <w:tc>
          <w:tcPr>
            <w:tcW w:w="56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t>191</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179</w:t>
            </w:r>
          </w:p>
        </w:tc>
        <w:tc>
          <w:tcPr>
            <w:tcW w:w="65" w:type="dxa"/>
            <w:tcBorders/>
            <w:shd w:fill="CCEEFF" w:val="clear"/>
            <w:vAlign w:val="bottom"/>
          </w:tcPr>
          <w:p>
            <w:pPr>
              <w:pStyle w:val="TableContents"/>
              <w:bidi w:val="0"/>
              <w:spacing w:before="0" w:after="283"/>
              <w:jc w:val="left"/>
              <w:rPr/>
            </w:pPr>
            <w:r>
              <w:rPr/>
              <w:t> </w:t>
            </w:r>
          </w:p>
        </w:tc>
      </w:tr>
      <w:tr>
        <w:trPr/>
        <w:tc>
          <w:tcPr>
            <w:tcW w:w="416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56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sz w:val="4"/>
                <w:szCs w:val="4"/>
              </w:rPr>
            </w:pPr>
            <w:r>
              <w:rPr>
                <w:sz w:val="4"/>
                <w:szCs w:val="4"/>
              </w:rPr>
            </w:r>
          </w:p>
        </w:tc>
        <w:tc>
          <w:tcPr>
            <w:tcW w:w="10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operating lease liabilities (included in accrued expenses)</w:t>
            </w:r>
          </w:p>
        </w:tc>
        <w:tc>
          <w:tcPr>
            <w:tcW w:w="56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11</w:t>
            </w:r>
          </w:p>
        </w:tc>
        <w:tc>
          <w:tcPr>
            <w:tcW w:w="65" w:type="dxa"/>
            <w:tcBorders/>
            <w:shd w:fill="CCEEFF" w:val="clear"/>
            <w:vAlign w:val="bottom"/>
          </w:tcPr>
          <w:p>
            <w:pPr>
              <w:pStyle w:val="TableContents"/>
              <w:bidi w:val="0"/>
              <w:spacing w:before="0" w:after="283"/>
              <w:jc w:val="left"/>
              <w:rPr/>
            </w:pPr>
            <w:r>
              <w:rPr/>
              <w:t> </w:t>
            </w:r>
          </w:p>
        </w:tc>
      </w:tr>
      <w:tr>
        <w:trPr/>
        <w:tc>
          <w:tcPr>
            <w:tcW w:w="4169"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 (included in other liabilities)</w:t>
            </w:r>
          </w:p>
        </w:tc>
        <w:tc>
          <w:tcPr>
            <w:tcW w:w="566"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171</w:t>
            </w:r>
          </w:p>
        </w:tc>
        <w:tc>
          <w:tcPr>
            <w:tcW w:w="65" w:type="dxa"/>
            <w:tcBorders/>
            <w:vAlign w:val="bottom"/>
          </w:tcPr>
          <w:p>
            <w:pPr>
              <w:pStyle w:val="TableContents"/>
              <w:bidi w:val="0"/>
              <w:spacing w:before="0" w:after="283"/>
              <w:jc w:val="left"/>
              <w:rPr/>
            </w:pPr>
            <w:r>
              <w:rPr/>
              <w:t> </w:t>
            </w:r>
          </w:p>
        </w:tc>
      </w:tr>
      <w:tr>
        <w:trPr/>
        <w:tc>
          <w:tcPr>
            <w:tcW w:w="4169"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56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t>196</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182</w:t>
            </w:r>
          </w:p>
        </w:tc>
        <w:tc>
          <w:tcPr>
            <w:tcW w:w="65" w:type="dxa"/>
            <w:tcBorders/>
            <w:shd w:fill="CCEEFF" w:val="clear"/>
            <w:vAlign w:val="bottom"/>
          </w:tcPr>
          <w:p>
            <w:pPr>
              <w:pStyle w:val="TableContents"/>
              <w:bidi w:val="0"/>
              <w:spacing w:before="0" w:after="283"/>
              <w:jc w:val="left"/>
              <w:rPr/>
            </w:pPr>
            <w:r>
              <w:rPr/>
              <w:t> </w:t>
            </w:r>
          </w:p>
        </w:tc>
      </w:tr>
      <w:tr>
        <w:trPr/>
        <w:tc>
          <w:tcPr>
            <w:tcW w:w="4169"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supplemental disclosures of operating cost and cash flow information related to operating leases: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666"/>
        <w:gridCol w:w="644"/>
        <w:gridCol w:w="495"/>
        <w:gridCol w:w="922"/>
        <w:gridCol w:w="60"/>
        <w:gridCol w:w="644"/>
        <w:gridCol w:w="380"/>
        <w:gridCol w:w="1065"/>
        <w:gridCol w:w="63"/>
      </w:tblGrid>
      <w:tr>
        <w:trPr/>
        <w:tc>
          <w:tcPr>
            <w:tcW w:w="2666"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6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  </w:t>
            </w:r>
          </w:p>
        </w:tc>
        <w:tc>
          <w:tcPr>
            <w:tcW w:w="35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63" w:type="dxa"/>
            <w:tcBorders/>
            <w:vAlign w:val="bottom"/>
          </w:tcPr>
          <w:p>
            <w:pPr>
              <w:pStyle w:val="TableContents"/>
              <w:bidi w:val="0"/>
              <w:spacing w:before="0" w:after="283"/>
              <w:jc w:val="left"/>
              <w:rPr/>
            </w:pPr>
            <w:r>
              <w:rPr/>
              <w:t> </w:t>
            </w:r>
          </w:p>
        </w:tc>
      </w:tr>
      <w:tr>
        <w:trPr/>
        <w:tc>
          <w:tcPr>
            <w:tcW w:w="266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60"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29,</w:t>
            </w:r>
            <w:r>
              <w:rPr/>
              <w:br/>
            </w:r>
            <w:r>
              <w:rPr>
                <w:b/>
              </w:rPr>
              <w:t>2023</w:t>
            </w:r>
          </w:p>
        </w:tc>
        <w:tc>
          <w:tcPr>
            <w:tcW w:w="63" w:type="dxa"/>
            <w:tcBorders/>
            <w:vAlign w:val="bottom"/>
          </w:tcPr>
          <w:p>
            <w:pPr>
              <w:pStyle w:val="TableContents"/>
              <w:bidi w:val="0"/>
              <w:spacing w:before="0" w:after="283"/>
              <w:jc w:val="left"/>
              <w:rPr/>
            </w:pPr>
            <w:r>
              <w:rPr/>
              <w:t> </w:t>
            </w:r>
          </w:p>
        </w:tc>
      </w:tr>
      <w:tr>
        <w:trPr/>
        <w:tc>
          <w:tcPr>
            <w:tcW w:w="266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  </w:t>
            </w:r>
          </w:p>
        </w:tc>
        <w:tc>
          <w:tcPr>
            <w:tcW w:w="3566" w:type="dxa"/>
            <w:gridSpan w:val="6"/>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operating leases</w:t>
            </w:r>
          </w:p>
        </w:tc>
        <w:tc>
          <w:tcPr>
            <w:tcW w:w="644"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13</w:t>
            </w:r>
          </w:p>
        </w:tc>
        <w:tc>
          <w:tcPr>
            <w:tcW w:w="63"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leases</w:t>
            </w:r>
          </w:p>
        </w:tc>
        <w:tc>
          <w:tcPr>
            <w:tcW w:w="644"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 obtained in exchange for operating lease liabilities</w:t>
            </w:r>
          </w:p>
        </w:tc>
        <w:tc>
          <w:tcPr>
            <w:tcW w:w="644"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167</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remaining lease term and discount rate for the Companys operating leases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30"/>
        <w:gridCol w:w="583"/>
        <w:gridCol w:w="169"/>
        <w:gridCol w:w="1250"/>
        <w:gridCol w:w="275"/>
        <w:gridCol w:w="486"/>
        <w:gridCol w:w="105"/>
        <w:gridCol w:w="778"/>
        <w:gridCol w:w="279"/>
      </w:tblGrid>
      <w:tr>
        <w:trPr/>
        <w:tc>
          <w:tcPr>
            <w:tcW w:w="3830" w:type="dxa"/>
            <w:tcBorders/>
            <w:vAlign w:val="center"/>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83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27,</w:t>
            </w:r>
            <w:r>
              <w:rPr/>
              <w:br/>
            </w:r>
            <w:r>
              <w:rPr>
                <w:b/>
              </w:rPr>
              <w:t>2024</w:t>
            </w:r>
          </w:p>
        </w:tc>
        <w:tc>
          <w:tcPr>
            <w:tcW w:w="27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2024</w:t>
            </w:r>
          </w:p>
        </w:tc>
        <w:tc>
          <w:tcPr>
            <w:tcW w:w="279" w:type="dxa"/>
            <w:tcBorders/>
            <w:vAlign w:val="bottom"/>
          </w:tcPr>
          <w:p>
            <w:pPr>
              <w:pStyle w:val="TableContents"/>
              <w:bidi w:val="0"/>
              <w:spacing w:before="0" w:after="283"/>
              <w:jc w:val="left"/>
              <w:rPr/>
            </w:pPr>
            <w:r>
              <w:rPr/>
              <w:t> </w:t>
            </w:r>
          </w:p>
        </w:tc>
      </w:tr>
      <w:tr>
        <w:trPr/>
        <w:tc>
          <w:tcPr>
            <w:tcW w:w="3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w:t>
            </w:r>
          </w:p>
        </w:tc>
        <w:tc>
          <w:tcPr>
            <w:tcW w:w="58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12.6</w:t>
            </w:r>
          </w:p>
        </w:tc>
        <w:tc>
          <w:tcPr>
            <w:tcW w:w="27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13.7</w:t>
            </w:r>
          </w:p>
        </w:tc>
        <w:tc>
          <w:tcPr>
            <w:tcW w:w="279" w:type="dxa"/>
            <w:tcBorders/>
            <w:shd w:fill="CCEEFF" w:val="clear"/>
            <w:vAlign w:val="bottom"/>
          </w:tcPr>
          <w:p>
            <w:pPr>
              <w:pStyle w:val="TableContents"/>
              <w:bidi w:val="0"/>
              <w:spacing w:before="0" w:after="283"/>
              <w:jc w:val="left"/>
              <w:rPr/>
            </w:pPr>
            <w:r>
              <w:rPr/>
              <w:t> </w:t>
            </w:r>
          </w:p>
        </w:tc>
      </w:tr>
      <w:tr>
        <w:trPr/>
        <w:tc>
          <w:tcPr>
            <w:tcW w:w="383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58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7.4</w:t>
            </w:r>
          </w:p>
        </w:tc>
        <w:tc>
          <w:tcPr>
            <w:tcW w:w="275"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7.5</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27, 2024, minimum lease payments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39"/>
        <w:gridCol w:w="915"/>
        <w:gridCol w:w="445"/>
        <w:gridCol w:w="1177"/>
        <w:gridCol w:w="63"/>
      </w:tblGrid>
      <w:tr>
        <w:trPr/>
        <w:tc>
          <w:tcPr>
            <w:tcW w:w="4339" w:type="dxa"/>
            <w:tcBorders/>
            <w:vAlign w:val="center"/>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3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 Amounts</w:t>
            </w:r>
          </w:p>
        </w:tc>
        <w:tc>
          <w:tcPr>
            <w:tcW w:w="63"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left"/>
              <w:rPr/>
            </w:pPr>
            <w:r>
              <w:rPr/>
              <w:t>  </w:t>
            </w:r>
          </w:p>
        </w:tc>
        <w:tc>
          <w:tcPr>
            <w:tcW w:w="1622" w:type="dxa"/>
            <w:gridSpan w:val="2"/>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Minimum lease payments by fiscal year:</w:t>
            </w:r>
          </w:p>
        </w:tc>
        <w:tc>
          <w:tcPr>
            <w:tcW w:w="91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117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Remaining six months of 2025</w:t>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91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30</w:t>
            </w:r>
          </w:p>
        </w:tc>
        <w:tc>
          <w:tcPr>
            <w:tcW w:w="63" w:type="dxa"/>
            <w:tcBorders/>
            <w:shd w:fill="CCEEFF" w:val="clear"/>
            <w:vAlign w:val="bottom"/>
          </w:tcPr>
          <w:p>
            <w:pPr>
              <w:pStyle w:val="TableContents"/>
              <w:bidi w:val="0"/>
              <w:spacing w:before="0" w:after="283"/>
              <w:jc w:val="left"/>
              <w:rPr/>
            </w:pPr>
            <w:r>
              <w:rPr/>
              <w:t> </w:t>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91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20</w:t>
            </w:r>
          </w:p>
        </w:tc>
        <w:tc>
          <w:tcPr>
            <w:tcW w:w="63" w:type="dxa"/>
            <w:tcBorders/>
            <w:shd w:fill="CCEEFF" w:val="clear"/>
            <w:vAlign w:val="bottom"/>
          </w:tcPr>
          <w:p>
            <w:pPr>
              <w:pStyle w:val="TableContents"/>
              <w:bidi w:val="0"/>
              <w:spacing w:before="0" w:after="283"/>
              <w:jc w:val="left"/>
              <w:rPr/>
            </w:pPr>
            <w:r>
              <w:rPr/>
              <w:t> </w:t>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91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198</w:t>
            </w:r>
          </w:p>
        </w:tc>
        <w:tc>
          <w:tcPr>
            <w:tcW w:w="63" w:type="dxa"/>
            <w:tcBorders/>
            <w:shd w:fill="CCEEFF" w:val="clear"/>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310</w:t>
            </w:r>
          </w:p>
        </w:tc>
        <w:tc>
          <w:tcPr>
            <w:tcW w:w="63"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915"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114</w:t>
            </w:r>
          </w:p>
        </w:tc>
        <w:tc>
          <w:tcPr>
            <w:tcW w:w="63" w:type="dxa"/>
            <w:tcBorders/>
            <w:shd w:fill="CCEEFF" w:val="clear"/>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Sale-Leaseback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has been allocated to us on a relative square footage basis and reflected as a cash inflow from investing activities within the Condensed Combined Statements of Cash Flows for the six months ended December 29, 2023. In connection with the sale and leaseback, the Company recorded a gain of $60 million upon the closing of the transaction. For more information, see Note 13, </w:t>
      </w:r>
      <w:r>
        <w:rPr>
          <w:rFonts w:ascii="Times New Roman" w:hAnsi="Times New Roman"/>
          <w:i/>
          <w:sz w:val="20"/>
        </w:rPr>
        <w:t xml:space="preserve">Employee Termination and Other Charges </w:t>
      </w:r>
      <w:r>
        <w:rPr>
          <w:rFonts w:ascii="Times New Roman" w:hAnsi="Times New Roman"/>
          <w:sz w:val="20"/>
        </w:rPr>
        <w:t xml:space="preserve">of the Notes to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property is being leased back to the Company at a total annual rate of $16 million for the first year and increasing by 3% per year thereafter through January 1, 2039. The lease includes three five-year renewal options and one four-year renewal option for the ability to extend through December 2057. The associated operating lease liability and right-of-use asset for this facility has been included in the Condensed Combined Balance Sheets as of December 27, 2024 and June 28, 2024. This facility is utilized in the Companys operations, and the total lease expense has been allocated to the Company based on the continued usage of the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Agreements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enters into purchase orders with suppliers for the purchase of components used to manufacture its products. These purchase orders generally cover forecasted component supplies needed for production during the coming months, are recorded as a liability upon receipt of the components, and generally may be changed or canceled at any time prior to shipment of the components. The Company also enters into long-term agreements with suppliers that contain fixed future commitments, which are contingent upon certain conditions such as performance, quality and technology of the vendors components. As of December 27, 2024, the Company had the following minimum long-term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85"/>
        <w:gridCol w:w="904"/>
        <w:gridCol w:w="368"/>
        <w:gridCol w:w="1019"/>
        <w:gridCol w:w="63"/>
      </w:tblGrid>
      <w:tr>
        <w:trPr/>
        <w:tc>
          <w:tcPr>
            <w:tcW w:w="4585" w:type="dxa"/>
            <w:tcBorders/>
            <w:vAlign w:val="center"/>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8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Long-term</w:t>
              <w:br/>
              <w:t>commitments</w:t>
            </w:r>
          </w:p>
        </w:tc>
        <w:tc>
          <w:tcPr>
            <w:tcW w:w="63" w:type="dxa"/>
            <w:tcBorders/>
            <w:vAlign w:val="bottom"/>
          </w:tcPr>
          <w:p>
            <w:pPr>
              <w:pStyle w:val="TableContents"/>
              <w:bidi w:val="0"/>
              <w:spacing w:before="0" w:after="283"/>
              <w:jc w:val="left"/>
              <w:rPr/>
            </w:pPr>
            <w:r>
              <w:rPr/>
              <w:t> </w:t>
            </w:r>
          </w:p>
        </w:tc>
      </w:tr>
      <w:tr>
        <w:trPr/>
        <w:tc>
          <w:tcPr>
            <w:tcW w:w="458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left"/>
              <w:rPr/>
            </w:pPr>
            <w:r>
              <w:rPr/>
              <w:t>  </w:t>
            </w:r>
          </w:p>
        </w:tc>
        <w:tc>
          <w:tcPr>
            <w:tcW w:w="1387" w:type="dxa"/>
            <w:gridSpan w:val="2"/>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4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Fiscal year:</w:t>
            </w:r>
          </w:p>
        </w:tc>
        <w:tc>
          <w:tcPr>
            <w:tcW w:w="904"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Remaining six months of 2025</w:t>
            </w:r>
          </w:p>
        </w:tc>
        <w:tc>
          <w:tcPr>
            <w:tcW w:w="904"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4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904"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496</w:t>
            </w:r>
          </w:p>
        </w:tc>
        <w:tc>
          <w:tcPr>
            <w:tcW w:w="63" w:type="dxa"/>
            <w:tcBorders/>
            <w:shd w:fill="CCEEFF" w:val="clear"/>
            <w:vAlign w:val="bottom"/>
          </w:tcPr>
          <w:p>
            <w:pPr>
              <w:pStyle w:val="TableContents"/>
              <w:bidi w:val="0"/>
              <w:spacing w:before="0" w:after="283"/>
              <w:jc w:val="left"/>
              <w:rPr/>
            </w:pPr>
            <w:r>
              <w:rPr/>
              <w:t> </w:t>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904"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586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89"/>
        <w:gridCol w:w="747"/>
        <w:gridCol w:w="278"/>
        <w:gridCol w:w="1162"/>
        <w:gridCol w:w="63"/>
      </w:tblGrid>
      <w:tr>
        <w:trPr/>
        <w:tc>
          <w:tcPr>
            <w:tcW w:w="4689" w:type="dxa"/>
            <w:tcBorders/>
            <w:vAlign w:val="center"/>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89"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Long-term</w:t>
              <w:br/>
              <w:t>commitments</w:t>
            </w:r>
          </w:p>
        </w:tc>
        <w:tc>
          <w:tcPr>
            <w:tcW w:w="63" w:type="dxa"/>
            <w:tcBorders/>
            <w:vAlign w:val="bottom"/>
          </w:tcPr>
          <w:p>
            <w:pPr>
              <w:pStyle w:val="TableContents"/>
              <w:bidi w:val="0"/>
              <w:spacing w:before="0" w:after="283"/>
              <w:jc w:val="left"/>
              <w:rPr/>
            </w:pPr>
            <w:r>
              <w:rPr/>
              <w:t> </w:t>
            </w:r>
          </w:p>
        </w:tc>
      </w:tr>
      <w:tr>
        <w:trPr/>
        <w:tc>
          <w:tcPr>
            <w:tcW w:w="4689"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bidi w:val="0"/>
              <w:spacing w:before="0" w:after="283"/>
              <w:jc w:val="center"/>
              <w:rPr>
                <w:i/>
              </w:rPr>
            </w:pPr>
            <w:r>
              <w:rPr>
                <w:i/>
              </w:rPr>
              <w:t>(in millions)</w:t>
            </w:r>
          </w:p>
        </w:tc>
        <w:tc>
          <w:tcPr>
            <w:tcW w:w="63" w:type="dxa"/>
            <w:tcBorders/>
            <w:vAlign w:val="bottom"/>
          </w:tcPr>
          <w:p>
            <w:pPr>
              <w:pStyle w:val="TableContents"/>
              <w:bidi w:val="0"/>
              <w:spacing w:before="0" w:after="283"/>
              <w:jc w:val="left"/>
              <w:rPr/>
            </w:pPr>
            <w:r>
              <w:rPr/>
              <w:t> </w:t>
            </w:r>
          </w:p>
        </w:tc>
      </w:tr>
      <w:tr>
        <w:trPr/>
        <w:tc>
          <w:tcPr>
            <w:tcW w:w="4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74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570</w:t>
            </w:r>
          </w:p>
        </w:tc>
        <w:tc>
          <w:tcPr>
            <w:tcW w:w="63" w:type="dxa"/>
            <w:tcBorders/>
            <w:shd w:fill="CCEEFF" w:val="clear"/>
            <w:vAlign w:val="bottom"/>
          </w:tcPr>
          <w:p>
            <w:pPr>
              <w:pStyle w:val="TableContents"/>
              <w:bidi w:val="0"/>
              <w:spacing w:before="0" w:after="283"/>
              <w:jc w:val="left"/>
              <w:rPr/>
            </w:pPr>
            <w:r>
              <w:rPr/>
              <w:t> </w:t>
            </w:r>
          </w:p>
        </w:tc>
      </w:tr>
      <w:tr>
        <w:trPr/>
        <w:tc>
          <w:tcPr>
            <w:tcW w:w="468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74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570</w:t>
            </w:r>
          </w:p>
        </w:tc>
        <w:tc>
          <w:tcPr>
            <w:tcW w:w="63" w:type="dxa"/>
            <w:tcBorders/>
            <w:vAlign w:val="bottom"/>
          </w:tcPr>
          <w:p>
            <w:pPr>
              <w:pStyle w:val="TableContents"/>
              <w:bidi w:val="0"/>
              <w:spacing w:before="0" w:after="283"/>
              <w:jc w:val="left"/>
              <w:rPr/>
            </w:pPr>
            <w:r>
              <w:rPr/>
              <w:t> </w:t>
            </w:r>
          </w:p>
        </w:tc>
      </w:tr>
      <w:tr>
        <w:trPr/>
        <w:tc>
          <w:tcPr>
            <w:tcW w:w="4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74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660</w:t>
            </w:r>
          </w:p>
        </w:tc>
        <w:tc>
          <w:tcPr>
            <w:tcW w:w="63" w:type="dxa"/>
            <w:tcBorders/>
            <w:shd w:fill="CCEEFF" w:val="clear"/>
            <w:vAlign w:val="bottom"/>
          </w:tcPr>
          <w:p>
            <w:pPr>
              <w:pStyle w:val="TableContents"/>
              <w:bidi w:val="0"/>
              <w:spacing w:before="0" w:after="283"/>
              <w:jc w:val="left"/>
              <w:rPr/>
            </w:pPr>
            <w:r>
              <w:rPr/>
              <w:t> </w:t>
            </w:r>
          </w:p>
        </w:tc>
      </w:tr>
      <w:tr>
        <w:trPr/>
        <w:tc>
          <w:tcPr>
            <w:tcW w:w="4689"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8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4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2,908</w:t>
            </w:r>
          </w:p>
        </w:tc>
        <w:tc>
          <w:tcPr>
            <w:tcW w:w="63" w:type="dxa"/>
            <w:tcBorders/>
            <w:vAlign w:val="bottom"/>
          </w:tcPr>
          <w:p>
            <w:pPr>
              <w:pStyle w:val="TableContents"/>
              <w:bidi w:val="0"/>
              <w:spacing w:before="0" w:after="283"/>
              <w:jc w:val="left"/>
              <w:rPr/>
            </w:pPr>
            <w:r>
              <w:rPr/>
              <w:t> </w:t>
            </w:r>
          </w:p>
        </w:tc>
      </w:tr>
      <w:tr>
        <w:trPr/>
        <w:tc>
          <w:tcPr>
            <w:tcW w:w="4689"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Note 11. 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total costs charged to the Company related to the Companys employees participation in WDCs equity incentive plan during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94"/>
        <w:gridCol w:w="648"/>
        <w:gridCol w:w="495"/>
        <w:gridCol w:w="925"/>
        <w:gridCol w:w="60"/>
        <w:gridCol w:w="648"/>
        <w:gridCol w:w="495"/>
        <w:gridCol w:w="925"/>
        <w:gridCol w:w="65"/>
      </w:tblGrid>
      <w:tr>
        <w:trPr/>
        <w:tc>
          <w:tcPr>
            <w:tcW w:w="3494"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94"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35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65" w:type="dxa"/>
            <w:tcBorders/>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65" w:type="dxa"/>
            <w:tcBorders/>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3548" w:type="dxa"/>
            <w:gridSpan w:val="6"/>
            <w:tcBorders/>
            <w:vAlign w:val="bottom"/>
          </w:tcPr>
          <w:p>
            <w:pPr>
              <w:pStyle w:val="TableContents"/>
              <w:bidi w:val="0"/>
              <w:spacing w:before="0" w:after="283"/>
              <w:jc w:val="center"/>
              <w:rPr>
                <w:i/>
              </w:rPr>
            </w:pPr>
            <w:r>
              <w:rPr>
                <w:i/>
              </w:rPr>
              <w:t>(in millions)</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4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10</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3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4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40</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32</w:t>
            </w:r>
          </w:p>
        </w:tc>
        <w:tc>
          <w:tcPr>
            <w:tcW w:w="65" w:type="dxa"/>
            <w:tcBorders/>
            <w:shd w:fill="CCEEFF" w:val="clear"/>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9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77</w:t>
            </w:r>
          </w:p>
        </w:tc>
        <w:tc>
          <w:tcPr>
            <w:tcW w:w="65" w:type="dxa"/>
            <w:tcBorders/>
            <w:vAlign w:val="bottom"/>
          </w:tcPr>
          <w:p>
            <w:pPr>
              <w:pStyle w:val="TableContents"/>
              <w:bidi w:val="0"/>
              <w:spacing w:before="0" w:after="283"/>
              <w:jc w:val="left"/>
              <w:rPr/>
            </w:pPr>
            <w:r>
              <w:rPr/>
              <w:t> </w:t>
            </w:r>
          </w:p>
        </w:tc>
      </w:tr>
      <w:tr>
        <w:trPr/>
        <w:tc>
          <w:tcPr>
            <w:tcW w:w="3494" w:type="dxa"/>
            <w:tcBorders/>
            <w:vAlign w:val="bottom"/>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unrecognized stock-based compensation expense associated with our employees was $303 million as of December 27, 2024. The total unrecognized stock-based expense relates to employees of WDC who will be employees of the Company after the separation.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12. 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Tax Cuts and Jobs Act (the 2017 Act), enacted on December 22, 2017, includes a broad range of tax reform proposals affecting businesses. WDC completed its accounting for the tax effects of the enactment of the 2017 Act during the second quarter of 2019. However, the U.S. Treasury and the Internal Revenue Service have issued tax guidance on certain provisions of the 2017 Act since the enactment date, and the Company anticipates the issuance of additional regulatory and interpretive guidance. WDC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CAMT was effective for the Company beginning with fiscal year 2024. The Company does not expect to be subject to the CAMT of 15% for fiscal year 2025 as its average annual AFSI did not exceed $1.0 billion for the preceding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2021, the Organization for Economic Co-operation and Development G20 (OECD/G20)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the Pillar Two, some of which are effective for the Company in fiscal year 2025. For fiscal year 2025, the Company currently expects to be 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meet certain transitional safe harbors and does not expect any material Pillar Two taxes. As more jurisdictions adopt this legislation in fiscal year 2026, there may be material increases in the Companys future tax obligations in certain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Income tax expense and the effective tax rate: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26"/>
        <w:gridCol w:w="681"/>
        <w:gridCol w:w="380"/>
        <w:gridCol w:w="1036"/>
        <w:gridCol w:w="275"/>
        <w:gridCol w:w="588"/>
        <w:gridCol w:w="332"/>
        <w:gridCol w:w="1083"/>
        <w:gridCol w:w="354"/>
      </w:tblGrid>
      <w:tr>
        <w:trPr/>
        <w:tc>
          <w:tcPr>
            <w:tcW w:w="3026" w:type="dxa"/>
            <w:tcBorders/>
            <w:vAlign w:val="center"/>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026"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  </w:t>
            </w:r>
          </w:p>
        </w:tc>
        <w:tc>
          <w:tcPr>
            <w:tcW w:w="36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54" w:type="dxa"/>
            <w:tcBorders/>
            <w:vAlign w:val="bottom"/>
          </w:tcPr>
          <w:p>
            <w:pPr>
              <w:pStyle w:val="TableContents"/>
              <w:bidi w:val="0"/>
              <w:spacing w:before="0" w:after="283"/>
              <w:jc w:val="left"/>
              <w:rPr/>
            </w:pPr>
            <w:r>
              <w:rPr/>
              <w:t> </w:t>
            </w:r>
          </w:p>
        </w:tc>
      </w:tr>
      <w:tr>
        <w:trPr/>
        <w:tc>
          <w:tcPr>
            <w:tcW w:w="3026"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275"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354" w:type="dxa"/>
            <w:tcBorders/>
            <w:vAlign w:val="bottom"/>
          </w:tcPr>
          <w:p>
            <w:pPr>
              <w:pStyle w:val="TableContents"/>
              <w:bidi w:val="0"/>
              <w:spacing w:before="0" w:after="283"/>
              <w:jc w:val="left"/>
              <w:rPr/>
            </w:pPr>
            <w:r>
              <w:rPr/>
              <w:t> </w:t>
            </w:r>
          </w:p>
        </w:tc>
      </w:tr>
      <w:tr>
        <w:trPr/>
        <w:tc>
          <w:tcPr>
            <w:tcW w:w="3026"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  </w:t>
            </w:r>
          </w:p>
        </w:tc>
        <w:tc>
          <w:tcPr>
            <w:tcW w:w="3694" w:type="dxa"/>
            <w:gridSpan w:val="6"/>
            <w:tcBorders/>
            <w:vAlign w:val="bottom"/>
          </w:tcPr>
          <w:p>
            <w:pPr>
              <w:pStyle w:val="TableContents"/>
              <w:bidi w:val="0"/>
              <w:spacing w:before="0" w:after="283"/>
              <w:jc w:val="center"/>
              <w:rPr>
                <w:i/>
              </w:rPr>
            </w:pPr>
            <w:r>
              <w:rPr>
                <w:i/>
              </w:rPr>
              <w:t>($ in millions)</w:t>
            </w:r>
          </w:p>
        </w:tc>
        <w:tc>
          <w:tcPr>
            <w:tcW w:w="354" w:type="dxa"/>
            <w:tcBorders/>
            <w:vAlign w:val="bottom"/>
          </w:tcPr>
          <w:p>
            <w:pPr>
              <w:pStyle w:val="TableContents"/>
              <w:bidi w:val="0"/>
              <w:spacing w:before="0" w:after="283"/>
              <w:jc w:val="left"/>
              <w:rPr/>
            </w:pPr>
            <w:r>
              <w:rPr/>
              <w:t> </w:t>
            </w:r>
          </w:p>
        </w:tc>
      </w:tr>
      <w:tr>
        <w:trPr/>
        <w:tc>
          <w:tcPr>
            <w:tcW w:w="3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68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440</w:t>
            </w:r>
          </w:p>
        </w:tc>
        <w:tc>
          <w:tcPr>
            <w:tcW w:w="275"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(754</w:t>
            </w:r>
          </w:p>
        </w:tc>
        <w:tc>
          <w:tcPr>
            <w:tcW w:w="354" w:type="dxa"/>
            <w:tcBorders/>
            <w:shd w:fill="CCEEFF" w:val="clear"/>
            <w:vAlign w:val="bottom"/>
          </w:tcPr>
          <w:p>
            <w:pPr>
              <w:pStyle w:val="TableContents"/>
              <w:bidi w:val="0"/>
              <w:spacing w:before="0" w:after="283"/>
              <w:jc w:val="left"/>
              <w:rPr/>
            </w:pPr>
            <w:r>
              <w:rPr/>
              <w:t>) </w:t>
            </w:r>
          </w:p>
        </w:tc>
      </w:tr>
      <w:tr>
        <w:trPr/>
        <w:tc>
          <w:tcPr>
            <w:tcW w:w="302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8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65</w:t>
            </w:r>
          </w:p>
        </w:tc>
        <w:tc>
          <w:tcPr>
            <w:tcW w:w="354" w:type="dxa"/>
            <w:tcBorders/>
            <w:vAlign w:val="bottom"/>
          </w:tcPr>
          <w:p>
            <w:pPr>
              <w:pStyle w:val="TableContents"/>
              <w:bidi w:val="0"/>
              <w:spacing w:before="0" w:after="283"/>
              <w:jc w:val="left"/>
              <w:rPr/>
            </w:pPr>
            <w:r>
              <w:rPr/>
              <w:t> </w:t>
            </w:r>
          </w:p>
        </w:tc>
      </w:tr>
      <w:tr>
        <w:trPr/>
        <w:tc>
          <w:tcPr>
            <w:tcW w:w="3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68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(9</w:t>
            </w:r>
          </w:p>
        </w:tc>
        <w:tc>
          <w:tcPr>
            <w:tcW w:w="35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Beginning in fiscal year 2023, the 2017 Act requires the Company to capitalize and amortize R&amp;D expenses rather than expensing them in the year incurred. The tax effects related to the capitalization of R&amp;D expenses are included in the effective tax rate for the six months ended December 27, 2024 and December 29, 2023. </w:t>
      </w:r>
    </w:p>
    <w:p>
      <w:pPr>
        <w:pStyle w:val="TextBody"/>
        <w:bidi w:val="0"/>
        <w:spacing w:before="240" w:after="0"/>
        <w:jc w:val="left"/>
        <w:rPr>
          <w:rFonts w:ascii="Times New Roman" w:hAnsi="Times New Roman"/>
          <w:sz w:val="20"/>
        </w:rPr>
      </w:pPr>
      <w:r>
        <w:rPr>
          <w:rFonts w:ascii="Times New Roman" w:hAnsi="Times New Roman"/>
          <w:sz w:val="20"/>
        </w:rPr>
        <w:t xml:space="preserve">The relative mix of earnings and losses by jurisdiction, the deduction for foreign-derived intangible income, credits and tax holidays in Malaysia that have or will expire at various dates during years 2025 through 2031 resulted in decreases to the effective tax rate below the U.S. statutory rate for the six months ended December 27, 2024. However, the tax effects of the mandatory capitalization of R&amp;D expenses offset these decreases, resulting in the effective tax rate being closer to the U.S. Federal statutory rate for the six months ended December 27, 2024. </w:t>
      </w:r>
    </w:p>
    <w:p>
      <w:pPr>
        <w:pStyle w:val="TextBody"/>
        <w:bidi w:val="0"/>
        <w:spacing w:before="240" w:after="0"/>
        <w:jc w:val="left"/>
        <w:rPr>
          <w:rFonts w:ascii="Times New Roman" w:hAnsi="Times New Roman"/>
          <w:sz w:val="20"/>
        </w:rPr>
      </w:pPr>
      <w:r>
        <w:rPr>
          <w:rFonts w:ascii="Times New Roman" w:hAnsi="Times New Roman"/>
          <w:sz w:val="20"/>
        </w:rPr>
        <w:t xml:space="preserve">The primary drivers of the difference between the effective tax rate for the three and six months ended December 29, 2023 and the U.S. Federal statutory rate of 21% are the relative mix of earnings and losses by jurisdiction, the deduction for foreign-derived intangible income, credits and tax holidays in Malaysia.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Tax Positions </w:t>
      </w:r>
    </w:p>
    <w:p>
      <w:pPr>
        <w:pStyle w:val="TextBody"/>
        <w:bidi w:val="0"/>
        <w:spacing w:before="120" w:after="0"/>
        <w:jc w:val="left"/>
        <w:rPr>
          <w:rFonts w:ascii="Times New Roman" w:hAnsi="Times New Roman"/>
          <w:sz w:val="20"/>
        </w:rPr>
      </w:pPr>
      <w:r>
        <w:rPr>
          <w:rFonts w:ascii="Times New Roman" w:hAnsi="Times New Roman"/>
          <w:sz w:val="20"/>
        </w:rPr>
        <w:t xml:space="preserve">With the exception of certain unrecognized tax benefits that are directly associated with the tax position taken, unrecognized tax benefits are presented gross in the Condensed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tabular reconciliation of the total amounts of unrecognized tax benefits, excluding accrued interest and penalties for the six months ended December 27,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26"/>
        <w:gridCol w:w="764"/>
        <w:gridCol w:w="379"/>
        <w:gridCol w:w="712"/>
        <w:gridCol w:w="158"/>
      </w:tblGrid>
      <w:tr>
        <w:trPr/>
        <w:tc>
          <w:tcPr>
            <w:tcW w:w="4926"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6"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left"/>
              <w:rPr/>
            </w:pPr>
            <w:r>
              <w:rPr/>
              <w:t>  </w:t>
            </w:r>
          </w:p>
        </w:tc>
        <w:tc>
          <w:tcPr>
            <w:tcW w:w="1091" w:type="dxa"/>
            <w:gridSpan w:val="2"/>
            <w:tcBorders/>
            <w:vAlign w:val="bottom"/>
          </w:tcPr>
          <w:p>
            <w:pPr>
              <w:pStyle w:val="TableContents"/>
              <w:bidi w:val="0"/>
              <w:spacing w:before="0" w:after="283"/>
              <w:jc w:val="center"/>
              <w:rPr>
                <w:i/>
              </w:rPr>
            </w:pPr>
            <w:r>
              <w:rPr>
                <w:i/>
              </w:rPr>
              <w:t>(in millions)</w:t>
            </w:r>
          </w:p>
        </w:tc>
        <w:tc>
          <w:tcPr>
            <w:tcW w:w="158" w:type="dxa"/>
            <w:tcBorders/>
            <w:vAlign w:val="bottom"/>
          </w:tcPr>
          <w:p>
            <w:pPr>
              <w:pStyle w:val="TableContents"/>
              <w:bidi w:val="0"/>
              <w:spacing w:before="0" w:after="283"/>
              <w:jc w:val="left"/>
              <w:rPr/>
            </w:pPr>
            <w:r>
              <w:rPr/>
              <w:t> </w:t>
            </w:r>
          </w:p>
        </w:tc>
      </w:tr>
      <w:tr>
        <w:trPr/>
        <w:tc>
          <w:tcPr>
            <w:tcW w:w="4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 balance at June 28, 2024</w:t>
            </w:r>
          </w:p>
        </w:tc>
        <w:tc>
          <w:tcPr>
            <w:tcW w:w="76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47</w:t>
            </w:r>
          </w:p>
        </w:tc>
        <w:tc>
          <w:tcPr>
            <w:tcW w:w="158" w:type="dxa"/>
            <w:tcBorders/>
            <w:shd w:fill="CCEEFF" w:val="clear"/>
            <w:vAlign w:val="bottom"/>
          </w:tcPr>
          <w:p>
            <w:pPr>
              <w:pStyle w:val="TableContents"/>
              <w:bidi w:val="0"/>
              <w:spacing w:before="0" w:after="283"/>
              <w:jc w:val="left"/>
              <w:rPr/>
            </w:pPr>
            <w:r>
              <w:rPr/>
              <w:t> </w:t>
            </w:r>
          </w:p>
        </w:tc>
      </w:tr>
      <w:tr>
        <w:trPr/>
        <w:tc>
          <w:tcPr>
            <w:tcW w:w="4926" w:type="dxa"/>
            <w:tcBorders/>
          </w:tcPr>
          <w:p>
            <w:pPr>
              <w:pStyle w:val="TableContents"/>
              <w:bidi w:val="0"/>
              <w:spacing w:before="0" w:after="0"/>
              <w:jc w:val="left"/>
              <w:rPr>
                <w:rFonts w:ascii="Times New Roman" w:hAnsi="Times New Roman"/>
                <w:sz w:val="20"/>
              </w:rPr>
            </w:pPr>
            <w:r>
              <w:rPr>
                <w:rFonts w:ascii="Times New Roman" w:hAnsi="Times New Roman"/>
                <w:sz w:val="20"/>
              </w:rPr>
              <w:t>Gross increases related to prior year tax positions</w:t>
            </w:r>
          </w:p>
        </w:tc>
        <w:tc>
          <w:tcPr>
            <w:tcW w:w="76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17</w:t>
            </w:r>
          </w:p>
        </w:tc>
        <w:tc>
          <w:tcPr>
            <w:tcW w:w="158" w:type="dxa"/>
            <w:tcBorders/>
            <w:vAlign w:val="bottom"/>
          </w:tcPr>
          <w:p>
            <w:pPr>
              <w:pStyle w:val="TableContents"/>
              <w:bidi w:val="0"/>
              <w:spacing w:before="0" w:after="283"/>
              <w:jc w:val="left"/>
              <w:rPr/>
            </w:pPr>
            <w:r>
              <w:rPr/>
              <w:t> </w:t>
            </w:r>
          </w:p>
        </w:tc>
      </w:tr>
      <w:tr>
        <w:trPr/>
        <w:tc>
          <w:tcPr>
            <w:tcW w:w="4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increases related to current year tax positions</w:t>
            </w:r>
          </w:p>
        </w:tc>
        <w:tc>
          <w:tcPr>
            <w:tcW w:w="76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4926" w:type="dxa"/>
            <w:tcBorders/>
          </w:tcPr>
          <w:p>
            <w:pPr>
              <w:pStyle w:val="TableContents"/>
              <w:bidi w:val="0"/>
              <w:spacing w:before="0" w:after="0"/>
              <w:jc w:val="left"/>
              <w:rPr>
                <w:rFonts w:ascii="Times New Roman" w:hAnsi="Times New Roman"/>
                <w:sz w:val="20"/>
              </w:rPr>
            </w:pPr>
            <w:r>
              <w:rPr>
                <w:rFonts w:ascii="Times New Roman" w:hAnsi="Times New Roman"/>
                <w:sz w:val="20"/>
              </w:rPr>
              <w:t>Gross decrease related to prior year tax positions</w:t>
            </w:r>
          </w:p>
        </w:tc>
        <w:tc>
          <w:tcPr>
            <w:tcW w:w="76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4926"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 balance at December 27, 2024</w:t>
            </w:r>
          </w:p>
        </w:tc>
        <w:tc>
          <w:tcPr>
            <w:tcW w:w="76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60</w:t>
            </w:r>
          </w:p>
        </w:tc>
        <w:tc>
          <w:tcPr>
            <w:tcW w:w="158" w:type="dxa"/>
            <w:tcBorders/>
            <w:shd w:fill="CCEEFF" w:val="clear"/>
            <w:vAlign w:val="bottom"/>
          </w:tcPr>
          <w:p>
            <w:pPr>
              <w:pStyle w:val="TableContents"/>
              <w:bidi w:val="0"/>
              <w:spacing w:before="0" w:after="283"/>
              <w:jc w:val="left"/>
              <w:rPr/>
            </w:pPr>
            <w:r>
              <w:rPr/>
              <w:t> </w:t>
            </w:r>
          </w:p>
        </w:tc>
      </w:tr>
      <w:tr>
        <w:trPr/>
        <w:tc>
          <w:tcPr>
            <w:tcW w:w="4926"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27, 2024 and June 28, 2024, the liability for unrecognized tax benefits (excluding accrued interest and penalties) was $60 million and $47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December 27, 2024 and June 28, 2024 was $6 million and $9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relating to the examination of the Companys tax returns. </w:t>
      </w:r>
    </w:p>
    <w:p>
      <w:pPr>
        <w:pStyle w:val="TextBody"/>
        <w:bidi w:val="0"/>
        <w:spacing w:before="360" w:after="0"/>
        <w:jc w:val="left"/>
        <w:rPr>
          <w:rFonts w:ascii="Times New Roman" w:hAnsi="Times New Roman"/>
          <w:b/>
          <w:sz w:val="20"/>
        </w:rPr>
      </w:pPr>
      <w:r>
        <w:rPr>
          <w:rFonts w:ascii="Times New Roman" w:hAnsi="Times New Roman"/>
          <w:b/>
          <w:sz w:val="20"/>
        </w:rPr>
        <w:t xml:space="preserve">Note 13. Employee Termination and Other Charges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Realignment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periodically incurs charges to realign its operations with anticipated market demand, primarily consisting of organization rationalization designed to streamline its business, reduce its cost structure and focus its resources. The Company has taken actions to reduce the amount of capital invested in facilities, including the sale-leaseback of its facility in Milpitas, California, in September 2023, as discussed in Note 10, </w:t>
      </w:r>
      <w:r>
        <w:rPr>
          <w:rFonts w:ascii="Times New Roman" w:hAnsi="Times New Roman"/>
          <w:i/>
          <w:sz w:val="20"/>
        </w:rPr>
        <w:t xml:space="preserve">Leases and Other Commitments </w:t>
      </w:r>
      <w:r>
        <w:rPr>
          <w:rFonts w:ascii="Times New Roman" w:hAnsi="Times New Roman"/>
          <w:sz w:val="20"/>
        </w:rPr>
        <w:t xml:space="preserve">of the Notes to Condensed Combined Financial Statements. </w:t>
      </w:r>
    </w:p>
    <w:p>
      <w:pPr>
        <w:pStyle w:val="TextBody"/>
        <w:bidi w:val="0"/>
        <w:spacing w:before="360" w:after="0"/>
        <w:jc w:val="left"/>
        <w:rPr>
          <w:rFonts w:ascii="Times New Roman" w:hAnsi="Times New Roman"/>
          <w:sz w:val="20"/>
        </w:rPr>
      </w:pPr>
      <w:r>
        <w:rPr>
          <w:rFonts w:ascii="Times New Roman" w:hAnsi="Times New Roman"/>
          <w:sz w:val="20"/>
        </w:rPr>
        <w:t xml:space="preserve">The Company recorded the following net charges related to these actions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35"/>
        <w:gridCol w:w="635"/>
        <w:gridCol w:w="707"/>
        <w:gridCol w:w="708"/>
        <w:gridCol w:w="60"/>
        <w:gridCol w:w="635"/>
        <w:gridCol w:w="417"/>
        <w:gridCol w:w="1001"/>
        <w:gridCol w:w="157"/>
      </w:tblGrid>
      <w:tr>
        <w:trPr/>
        <w:tc>
          <w:tcPr>
            <w:tcW w:w="3435"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35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7" w:type="dxa"/>
            <w:tcBorders/>
            <w:vAlign w:val="bottom"/>
          </w:tcPr>
          <w:p>
            <w:pPr>
              <w:pStyle w:val="TableContents"/>
              <w:bidi w:val="0"/>
              <w:spacing w:before="0" w:after="283"/>
              <w:jc w:val="left"/>
              <w:rPr/>
            </w:pPr>
            <w:r>
              <w:rPr/>
              <w:t> </w:t>
            </w:r>
          </w:p>
        </w:tc>
      </w:tr>
      <w:tr>
        <w:trPr/>
        <w:tc>
          <w:tcPr>
            <w:tcW w:w="343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27,</w:t>
              <w:br/>
              <w:t>2024</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29,</w:t>
              <w:br/>
              <w:t>2023</w:t>
            </w:r>
          </w:p>
        </w:tc>
        <w:tc>
          <w:tcPr>
            <w:tcW w:w="157" w:type="dxa"/>
            <w:tcBorders/>
            <w:vAlign w:val="bottom"/>
          </w:tcPr>
          <w:p>
            <w:pPr>
              <w:pStyle w:val="TableContents"/>
              <w:bidi w:val="0"/>
              <w:spacing w:before="0" w:after="283"/>
              <w:jc w:val="left"/>
              <w:rPr/>
            </w:pPr>
            <w:r>
              <w:rPr/>
              <w:t> </w:t>
            </w:r>
          </w:p>
        </w:tc>
      </w:tr>
      <w:tr>
        <w:trPr/>
        <w:tc>
          <w:tcPr>
            <w:tcW w:w="343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3528" w:type="dxa"/>
            <w:gridSpan w:val="6"/>
            <w:tcBorders/>
            <w:vAlign w:val="bottom"/>
          </w:tcPr>
          <w:p>
            <w:pPr>
              <w:pStyle w:val="TableContents"/>
              <w:bidi w:val="0"/>
              <w:spacing w:before="0" w:after="283"/>
              <w:jc w:val="center"/>
              <w:rPr>
                <w:i/>
              </w:rPr>
            </w:pPr>
            <w:r>
              <w:rPr>
                <w:i/>
              </w:rPr>
              <w:t>(in millions)</w:t>
            </w:r>
          </w:p>
        </w:tc>
        <w:tc>
          <w:tcPr>
            <w:tcW w:w="157" w:type="dxa"/>
            <w:tcBorders/>
            <w:vAlign w:val="bottom"/>
          </w:tcPr>
          <w:p>
            <w:pPr>
              <w:pStyle w:val="TableContents"/>
              <w:bidi w:val="0"/>
              <w:spacing w:before="0" w:after="283"/>
              <w:jc w:val="left"/>
              <w:rPr/>
            </w:pPr>
            <w:r>
              <w:rPr/>
              <w:t> </w:t>
            </w:r>
          </w:p>
        </w:tc>
      </w:tr>
      <w:tr>
        <w:trPr/>
        <w:tc>
          <w:tcPr>
            <w:tcW w:w="3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termination benefits</w:t>
            </w:r>
          </w:p>
        </w:tc>
        <w:tc>
          <w:tcPr>
            <w:tcW w:w="63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14</w:t>
            </w:r>
          </w:p>
        </w:tc>
        <w:tc>
          <w:tcPr>
            <w:tcW w:w="157" w:type="dxa"/>
            <w:tcBorders/>
            <w:shd w:fill="CCEEFF" w:val="clear"/>
            <w:vAlign w:val="bottom"/>
          </w:tcPr>
          <w:p>
            <w:pPr>
              <w:pStyle w:val="TableContents"/>
              <w:bidi w:val="0"/>
              <w:spacing w:before="0" w:after="283"/>
              <w:jc w:val="left"/>
              <w:rPr/>
            </w:pPr>
            <w:r>
              <w:rPr/>
              <w:t> </w:t>
            </w:r>
          </w:p>
        </w:tc>
      </w:tr>
      <w:tr>
        <w:trPr/>
        <w:tc>
          <w:tcPr>
            <w:tcW w:w="3435" w:type="dxa"/>
            <w:tcBorders/>
          </w:tcPr>
          <w:p>
            <w:pPr>
              <w:pStyle w:val="TableContents"/>
              <w:bidi w:val="0"/>
              <w:spacing w:before="0" w:after="0"/>
              <w:jc w:val="left"/>
              <w:rPr>
                <w:rFonts w:ascii="Times New Roman" w:hAnsi="Times New Roman"/>
                <w:sz w:val="20"/>
              </w:rPr>
            </w:pPr>
            <w:r>
              <w:rPr>
                <w:rFonts w:ascii="Times New Roman" w:hAnsi="Times New Roman"/>
                <w:sz w:val="20"/>
              </w:rPr>
              <w:t>Contract termination and other</w:t>
            </w:r>
          </w:p>
        </w:tc>
        <w:tc>
          <w:tcPr>
            <w:tcW w:w="63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3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sale-leaseback of facility</w:t>
            </w:r>
          </w:p>
        </w:tc>
        <w:tc>
          <w:tcPr>
            <w:tcW w:w="63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(60</w:t>
            </w:r>
          </w:p>
        </w:tc>
        <w:tc>
          <w:tcPr>
            <w:tcW w:w="157" w:type="dxa"/>
            <w:tcBorders/>
            <w:shd w:fill="CCEEFF" w:val="clear"/>
            <w:vAlign w:val="bottom"/>
          </w:tcPr>
          <w:p>
            <w:pPr>
              <w:pStyle w:val="TableContents"/>
              <w:bidi w:val="0"/>
              <w:spacing w:before="0" w:after="283"/>
              <w:jc w:val="left"/>
              <w:rPr/>
            </w:pPr>
            <w:r>
              <w:rPr/>
              <w:t>) </w:t>
            </w:r>
          </w:p>
        </w:tc>
      </w:tr>
      <w:tr>
        <w:trPr/>
        <w:tc>
          <w:tcPr>
            <w:tcW w:w="3435"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435" w:type="dxa"/>
            <w:tcBorders/>
          </w:tcPr>
          <w:p>
            <w:pPr>
              <w:pStyle w:val="TableContents"/>
              <w:bidi w:val="0"/>
              <w:spacing w:before="0" w:after="0"/>
              <w:jc w:val="left"/>
              <w:rPr>
                <w:rFonts w:ascii="Times New Roman" w:hAnsi="Times New Roman"/>
                <w:sz w:val="20"/>
              </w:rPr>
            </w:pPr>
            <w:r>
              <w:rPr>
                <w:rFonts w:ascii="Times New Roman" w:hAnsi="Times New Roman"/>
                <w:sz w:val="20"/>
              </w:rPr>
              <w:t>Total employee termination and other charges</w:t>
            </w:r>
          </w:p>
        </w:tc>
        <w:tc>
          <w:tcPr>
            <w:tcW w:w="63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(46</w:t>
            </w:r>
          </w:p>
        </w:tc>
        <w:tc>
          <w:tcPr>
            <w:tcW w:w="157" w:type="dxa"/>
            <w:tcBorders/>
            <w:vAlign w:val="bottom"/>
          </w:tcPr>
          <w:p>
            <w:pPr>
              <w:pStyle w:val="TableContents"/>
              <w:bidi w:val="0"/>
              <w:spacing w:before="0" w:after="283"/>
              <w:jc w:val="left"/>
              <w:rPr/>
            </w:pPr>
            <w:r>
              <w:rPr/>
              <w:t>) </w:t>
            </w:r>
          </w:p>
        </w:tc>
      </w:tr>
      <w:tr>
        <w:trPr/>
        <w:tc>
          <w:tcPr>
            <w:tcW w:w="3435"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termination benefits accrual balance as of December 27, 2024 and the periodic activity during the six months ended December 27, 2024 were not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Note 14.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15. Subsequent Events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Completion of the spin-off </w:t>
      </w:r>
    </w:p>
    <w:p>
      <w:pPr>
        <w:pStyle w:val="TextBody"/>
        <w:bidi w:val="0"/>
        <w:spacing w:before="120" w:after="0"/>
        <w:jc w:val="left"/>
        <w:rPr>
          <w:rFonts w:ascii="Times New Roman" w:hAnsi="Times New Roman"/>
          <w:sz w:val="20"/>
        </w:rPr>
      </w:pPr>
      <w:r>
        <w:rPr>
          <w:rFonts w:ascii="Times New Roman" w:hAnsi="Times New Roman"/>
          <w:sz w:val="20"/>
        </w:rPr>
        <w:t xml:space="preserve">On January 31, 2025, the Companys Form 10 was declared effective by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February 21, 2025, the Company completed its spin-off from WDC (the Spin-Off) through WDCs pro rata distribution of 80.1% of the outstanding shares of common stock of the Company to WDCs existing stockholders. Each of WDCs stockholders received one-third (1/3) of one share of the Companys common stock for each share of WDCs common stock held by such WDC stockholder as of February 12, 2025, the record date of the distribution. Upon completion of the Spin-Off, WDC owned 19.9% of the outstanding shares of the Companys common stock, which WDC is expected to retain for a period of up to 12 months following the separation. The Company is also subject to various agreements with WDC in connection with the separation. On February 24, 2025, the Company began trading as an independent, publicly traded company under the stock symbol SNDK on the Nasdaq Stock Market LLC (Nasdaq).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and as of the closing date of the Spin-Off, on February 21, 2025, the Company entered into definitive agreements with WDC that set forth the terms and conditions of the Spin-Off and provide a framework for WDCs relationship with the Company following the Spin-Off. These agreements include the Separation and Distribution Agreement (as described below), which contains certain key provisions related to the Spin-Off, as well as a Transition Services Agreement, a Tax Matters Agreement, an Employee Matters Agreement, an Intellectual Property Cross-License Agreement, a Transitional Trademark License Agreement, and a Stockholder and Registration Rights Agreement, as described in and filed as Exhibits to the Companys Current Report on Form 8-K on February 24, 2025. Additionally, the Company adopted certain compensation plans, which were filed as Exhibits to our Form 10. </w:t>
      </w:r>
    </w:p>
    <w:p>
      <w:pPr>
        <w:pStyle w:val="TextBody"/>
        <w:bidi w:val="0"/>
        <w:spacing w:before="360" w:after="0"/>
        <w:jc w:val="left"/>
        <w:rPr>
          <w:rFonts w:ascii="Times New Roman" w:hAnsi="Times New Roman"/>
          <w:b/>
          <w:i/>
          <w:sz w:val="20"/>
        </w:rPr>
      </w:pPr>
      <w:r>
        <w:rPr>
          <w:rFonts w:ascii="Times New Roman" w:hAnsi="Times New Roman"/>
          <w:b/>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21, 2025, the Company entered into a Loan Agreement (the Loan Agreement) by and among the Company, the lenders party thereto, JPMorgan Chase Bank, N.A., as administrative agent and collateral agent and the other parties party thereto. The Loan Agreement comprises a term loan B facility in the principal amount of $2 billion (the Term Loan Facility) and a revolving credit facility in the principal amount of $1.5 billion (the Revolving Credit Facility and together with the Term Loan Facility, the Facilities). The Term Loan Facility bears interest, at the Companys option, at (x) the Adjusted Term SOFR Rate (as defined in the Loan Agreement) plus an interest rate margin of 3.00% per annum or (y) a base rate plus an interest rate margin of 2.00% per annum. The Term Loan Facility will mature on February 20, 2032, and amortizes at 1.00% per annum.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Revolving Credit Facility, for U.S. dollar borrowings, will bear interest, at the Companys option, at (x) the Adjusted Term SOFR Rate (as defined in the Loan Agreement), which rate includes a credit spread adjustment of 0.10%, plus an interest rate margin of 2.00% per annum (subject to step-ups based on the Companys Leverage Ratio (as defined in the Loan Agreement)), or (y) a base rate plus an interest rate margin of 1.00% per annum (subject to step-ups based on the Companys Leverage Ratio (as defined in the Loan Agreement)). The Company will pay a commitment fee of 0.30% per annum (subject to step-ups based on the Companys Leverage Ratio (as defined in the Loan Agreement)) in respect of undrawn revolving commitments under the Revolving Credit Facility. The Revolving Credit Facility will also provide for borrowings in Euros, Yen and additional currencies agreed to by the lenders under the Revolving Credit Facility. The Revolving Credit Facility will mature on February 21, 2030, at which time the commitments thereunder shall be terminated and will not have any amortization.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Loan Agreement are guaranteed by the Companys wholly owned subsidiary, Sandisk Technologies, Inc. (SDT) and are required to be guaranteed by any of the Companys future material U.S. wholly owned subsidiaries, subject to certain exceptions outlined in the Loan Agreement. The obligations under the Loan Agreement are secured by the Companys assets and SDTs assets and are required to be secured by the assets of any of the Companys future material U.S. wholly owned subsidiaries, subject, in each case, to certain exceptions outlined in the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SANDISK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Loan Agreement includes certain restrictions (subject to certain exceptions outlined in the Loan Agreement) on the ability of the Company and its subsidiaries to undertake certain activities, including to incur indebtedness and liens, merge or consolidate with other entities, dispose or transfer their assets, pay dividends or make distributions, make investments, make payments on junior or subordinated debt, enter into burdensome agreements or transact with affiliates. The Loan Agreement also includes a financial covenant, which is solely for the benefit of the lenders under the Revolving Credit Facility, that requires the Company to maintain a maximum Leverage Ratio (as defined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the Company borrowed $2 billion under its Term Loan Facility. The Company used a portion of the proceeds of the borrowing to pay a dividend to WDC in the amount of approximately $1.5 billion, with the remainder to be used for general corporate purposes of the Company. The Revolving Credit Facility may be borrowed by the Company from time to time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Loan Agreement, the Company and SDT entered into a security agreement (the Security Agreement) to secure the obligations under the Facilities on a first-priority basis (subject to permitted liens) by a lien on substantially all the assets and properties of the Company and SDT,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Loan Agreement, the Company (solely with respect to obligations of any additional Borrower under the Loan Agreement) and SDT entered into a guaranty agreement (the Guaranty Agreement) to secure and unconditionally guarantee the obligations under the Loan Agreement, respectively, in each case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Loan Agreement, Security Agreement and Guaranty Agreement do not purport to be complete and are subject to, and qualified in its entirety by, the full text of the Loan Agreement, Security Agreement and Guaranty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Impairment of Goodwill and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completion of the separation, the Company identified potential impairment indicators related to the trading price of the Companys common stock and a resulting market capitalization that was below its December 27, 2024 net book value. In accordance with Accounting Standards Codification No. 350, Intangibles - Goodwill and Other, the Company initiated a quantitative analysis of potential impairment of goodwill and long-lived assets. That analysis is ongoing, and the Company believes it is more likely than not that it will record an impairment charge in the three months ended March 28, 2025. See Note 5, </w:t>
      </w:r>
      <w:r>
        <w:rPr>
          <w:rFonts w:ascii="Times New Roman" w:hAnsi="Times New Roman"/>
          <w:i/>
          <w:sz w:val="20"/>
        </w:rPr>
        <w:t>Supplemental Financial Statement Data</w:t>
      </w:r>
      <w:r>
        <w:rPr>
          <w:rFonts w:ascii="Times New Roman" w:hAnsi="Times New Roman"/>
          <w:sz w:val="20"/>
        </w:rPr>
        <w:t xml:space="preserve">, for information about how goodwill is tested for impairment.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89785" cy="2139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89785" cy="2139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13.</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costs and expenses payable by the registrant in connection with the issuance of the shares of our common stock being registered. The registrant has agreed with the selling stockholder to bear substantially all expenses (other than underwriting discounts and selling commissions) in connection with the registration and sale of the shares being registered. All amounts are estimates except the Securities and Exchange Commission registration fee and Financial Industry Regulatory Authority, Inc. (FINRA)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8"/>
        <w:gridCol w:w="469"/>
        <w:gridCol w:w="141"/>
        <w:gridCol w:w="938"/>
        <w:gridCol w:w="63"/>
      </w:tblGrid>
      <w:tr>
        <w:trPr/>
        <w:tc>
          <w:tcPr>
            <w:tcW w:w="5328"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4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133,112</w:t>
            </w:r>
          </w:p>
        </w:tc>
        <w:tc>
          <w:tcPr>
            <w:tcW w:w="63" w:type="dxa"/>
            <w:tcBorders/>
            <w:shd w:fill="CCEEFF" w:val="clear"/>
            <w:vAlign w:val="bottom"/>
          </w:tcPr>
          <w:p>
            <w:pPr>
              <w:pStyle w:val="TableContents"/>
              <w:bidi w:val="0"/>
              <w:spacing w:before="0" w:after="283"/>
              <w:jc w:val="left"/>
              <w:rPr/>
            </w:pPr>
            <w:r>
              <w:rPr/>
              <w:t> </w:t>
            </w:r>
          </w:p>
        </w:tc>
      </w:tr>
      <w:tr>
        <w:trPr/>
        <w:tc>
          <w:tcPr>
            <w:tcW w:w="5328" w:type="dxa"/>
            <w:tcBorders/>
          </w:tcPr>
          <w:p>
            <w:pPr>
              <w:pStyle w:val="TableContents"/>
              <w:bidi w:val="0"/>
              <w:spacing w:before="0" w:after="0"/>
              <w:jc w:val="left"/>
              <w:rPr>
                <w:rFonts w:ascii="Times New Roman" w:hAnsi="Times New Roman"/>
                <w:sz w:val="20"/>
              </w:rPr>
            </w:pPr>
            <w:r>
              <w:rPr>
                <w:rFonts w:ascii="Times New Roman" w:hAnsi="Times New Roman"/>
                <w:sz w:val="20"/>
              </w:rPr>
              <w:t>FINRA fee</w:t>
            </w:r>
          </w:p>
        </w:tc>
        <w:tc>
          <w:tcPr>
            <w:tcW w:w="4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130,917</w:t>
            </w:r>
          </w:p>
        </w:tc>
        <w:tc>
          <w:tcPr>
            <w:tcW w:w="63" w:type="dxa"/>
            <w:tcBorders/>
            <w:vAlign w:val="bottom"/>
          </w:tcPr>
          <w:p>
            <w:pPr>
              <w:pStyle w:val="TableContents"/>
              <w:bidi w:val="0"/>
              <w:spacing w:before="0" w:after="283"/>
              <w:jc w:val="left"/>
              <w:rPr/>
            </w:pPr>
            <w:r>
              <w:rPr/>
              <w:t> </w:t>
            </w:r>
          </w:p>
        </w:tc>
      </w:tr>
      <w:tr>
        <w:trPr/>
        <w:tc>
          <w:tcPr>
            <w:tcW w:w="5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w:t>
            </w:r>
          </w:p>
        </w:tc>
        <w:tc>
          <w:tcPr>
            <w:tcW w:w="4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32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328"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6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328"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fees and expenses (other than the SEC registration fee and FINRA filing fee) will depend on the number of securities offered, the number of issuances and the nature of the offerings, and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is a Delaware corporation. Section 102(b)(7) of the Delaware General Corporation Law (the DGCL) allows a corporation to provide in its certificate of incorporation that a director or officer of the corporation will not be personally liable to the corporation or its stockholders for monetary damages for breach of fiduciary duty as a director, except where the director or officer breached the duty of loyalty, failed to act in good faith, engaged in intentional misconduct or knowingly violated a law, authorized the payment of a dividend or approved a stock repurchase in violation of Delaware corporate law, obtained an improper personal benefit or, with respect to an officer only, in any action by or in the right of the corporation. Our certificate of incorporation provides for this 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bylaws provide that we must indemnify and advance expenses to our directors and officers to the full extent authorized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rights set forth above shall not be exclusive of any other right which an indemnified person may have or hereafter acquire under any statute, any provision of the Companys certificate of incorporation, the Companys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and maintain standard policies of insurance to protect the Company, its directors, officers, employees and agents for some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these provisions, the insurance and the indemnity agreements are necessary to attract and retain talented and experienced officers and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Recent Sales of Unregistered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Since three years before the date of the filing of this registration statement, the registrant has sold the following securities without registration under the Securities Act of 1933, as amended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13, 2025, Sandisk Corporation issued an additional 29,863,251 shares of its common stock to WDC, its then sole stockholder, such that WDC held an aggregate of 144,863,251 shares of Sandisk common stock. These additional shares were issued to WDC to facilitate WDCs distribution of 80.1% of Sandisk common stock to WDC stockholders of record as of February 12, 2025, in connection with the spin-off.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16.</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 and Financial Statement Schedules.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7"/>
        <w:gridCol w:w="649"/>
        <w:gridCol w:w="8339"/>
      </w:tblGrid>
      <w:tr>
        <w:trPr/>
        <w:tc>
          <w:tcPr>
            <w:tcW w:w="1217" w:type="dxa"/>
            <w:tcBorders/>
            <w:vAlign w:val="center"/>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8339" w:type="dxa"/>
            <w:tcBorders/>
            <w:vAlign w:val="center"/>
          </w:tcPr>
          <w:p>
            <w:pPr>
              <w:pStyle w:val="TableContents"/>
              <w:bidi w:val="0"/>
              <w:spacing w:before="0" w:after="283"/>
              <w:jc w:val="left"/>
              <w:rPr>
                <w:sz w:val="4"/>
                <w:szCs w:val="4"/>
              </w:rPr>
            </w:pPr>
            <w:r>
              <w:rPr>
                <w:sz w:val="4"/>
                <w:szCs w:val="4"/>
              </w:rPr>
            </w:r>
          </w:p>
        </w:tc>
      </w:tr>
      <w:tr>
        <w:trPr/>
        <w:tc>
          <w:tcPr>
            <w:tcW w:w="1217"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49" w:type="dxa"/>
            <w:tcBorders/>
            <w:vAlign w:val="bottom"/>
          </w:tcPr>
          <w:p>
            <w:pPr>
              <w:pStyle w:val="TableContents"/>
              <w:bidi w:val="0"/>
              <w:spacing w:before="0" w:after="283"/>
              <w:jc w:val="left"/>
              <w:rPr/>
            </w:pPr>
            <w:r>
              <w:rPr/>
              <w:t>  </w:t>
            </w:r>
          </w:p>
        </w:tc>
        <w:tc>
          <w:tcPr>
            <w:tcW w:w="833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1.1</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r>
              <w:rPr/>
              <w:t>Form of Underwriting Agreement*</w:t>
            </w:r>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2.1</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2">
              <w:r>
                <w:rPr>
                  <w:rStyle w:val="InternetLink"/>
                </w:rPr>
                <w:t>Separation and Distribution Agreement, dated as of February  21, 2025, by and between Western Digital Corporation and Sandisk Corporation (incorporated by reference to Exhibit 2.1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3.1</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3">
              <w:r>
                <w:rPr>
                  <w:rStyle w:val="InternetLink"/>
                </w:rPr>
                <w:t xml:space="preserve">Amended and Restated Certificate of Incorporation of Sandisk Corporation (incorporated by reference to Exhibit 3.1 to the Companys Current Report on Form 8-K dated February 24, 2025) </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3.2</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4">
              <w:r>
                <w:rPr>
                  <w:rStyle w:val="InternetLink"/>
                </w:rPr>
                <w:t xml:space="preserve">Amended and Restated Bylaws of Sandisk Corporation (incorporated by reference to Exhibit 3.1 to the Companys Current Report on Form 8-K dated February 14, 2025) </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4.1</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5">
              <w:r>
                <w:rPr>
                  <w:rStyle w:val="InternetLink"/>
                </w:rPr>
                <w:t>Stockholders and Registration Rights Agreement, dated as of February  21, 2025, by and between Western Digital Corporation and Sandisk Corporation (incorporated by reference to Exhibit 10.6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5.1</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6">
              <w:r>
                <w:rPr>
                  <w:rStyle w:val="InternetLink"/>
                </w:rPr>
                <w:t>Opinion of OMelveny &amp; Myers LLP#</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10.1</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7">
              <w:r>
                <w:rPr>
                  <w:rStyle w:val="InternetLink"/>
                </w:rPr>
                <w:t>Transition Services Agreement, dated as of February  21, 2025, by and between Western Digital Corporation and Sandisk Corporation (incorporated by reference to Exhibit 10.1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10.2</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8">
              <w:r>
                <w:rPr>
                  <w:rStyle w:val="InternetLink"/>
                </w:rPr>
                <w:t>Tax Matters Agreement, dated as of February  21, 2025, by and between Western Digital Corporation and Sandisk Corporation (incorporated by reference to Exhibit 10.2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10.3</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19">
              <w:r>
                <w:rPr>
                  <w:rStyle w:val="InternetLink"/>
                </w:rPr>
                <w:t>Employee Matters Agreement, dated as of February  21, 2025, by and between Western Digital Corporation and Sandisk Corporation (incorporated by reference to Exhibit 10.3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10.4</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20">
              <w:r>
                <w:rPr>
                  <w:rStyle w:val="InternetLink"/>
                </w:rPr>
                <w:t>IP Cross-License Agreement, dated as of February  21, 2025, by and between Western Digital Corporation and Sandisk Corporation (incorporated by reference to Exhibit 10.4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10.5</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21">
              <w:r>
                <w:rPr>
                  <w:rStyle w:val="InternetLink"/>
                </w:rPr>
                <w:t>Transitional Trademark License Agreement, dated as of February  21, 2025, by and between Western Digital Corporation and Sandisk Corporation (incorporated by reference to Exhibit 10.5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10.6</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22">
              <w:r>
                <w:rPr>
                  <w:rStyle w:val="InternetLink"/>
                </w:rPr>
                <w:t xml:space="preserve">Loan Agreement, dated as of February  21, 2025, by and among Sandisk Corporation, each lender party thereto, JPMorgan Chase Bank, N.A., as administrative agent and collateral agent and the other parties party thereto (incorporated by reference to Exhibit 10.7 to the Companys Current Report on Form 8-K dated February 24, 2025) </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10.7</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23">
              <w:r>
                <w:rPr>
                  <w:rStyle w:val="InternetLink"/>
                </w:rPr>
                <w:t xml:space="preserve">Security Agreement, dated as of February  21, 2025, by and among Sandisk Corporation, Sandisk Technologies, Inc. and JPMorgan Chase Bank, N.A., as collateral agent (incorporated by reference to Exhibit 10.8 to the Companys Current Report on Form 8-K dated February 24, 2025) </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10.8</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24">
              <w:r>
                <w:rPr>
                  <w:rStyle w:val="InternetLink"/>
                </w:rPr>
                <w:t>Guaranty Agreement, dated as of February  21, 2025, by and among Sandisk Corporation, Sandisk Technologies, Inc. and JPMorgan Chase Bank, N.A., as administrative agent (incorporated by reference to Exhibit 10.9 to the Companys Current Report on Form 8-K dated February 24, 2025)</w:t>
              </w:r>
            </w:hyperlink>
          </w:p>
        </w:tc>
      </w:tr>
      <w:tr>
        <w:trPr>
          <w:trHeight w:val="120" w:hRule="atLeast"/>
        </w:trPr>
        <w:tc>
          <w:tcPr>
            <w:tcW w:w="1217" w:type="dxa"/>
            <w:tcBorders/>
            <w:vAlign w:val="center"/>
          </w:tcPr>
          <w:p>
            <w:pPr>
              <w:pStyle w:val="TableContents"/>
              <w:bidi w:val="0"/>
              <w:spacing w:before="0" w:after="283"/>
              <w:jc w:val="left"/>
              <w:rPr>
                <w:sz w:val="4"/>
                <w:szCs w:val="4"/>
              </w:rPr>
            </w:pPr>
            <w:r>
              <w:rPr>
                <w:sz w:val="4"/>
                <w:szCs w:val="4"/>
              </w:rPr>
            </w:r>
          </w:p>
        </w:tc>
        <w:tc>
          <w:tcPr>
            <w:tcW w:w="8988" w:type="dxa"/>
            <w:gridSpan w:val="2"/>
            <w:tcBorders/>
            <w:vAlign w:val="center"/>
          </w:tcPr>
          <w:p>
            <w:pPr>
              <w:pStyle w:val="TableContents"/>
              <w:bidi w:val="0"/>
              <w:spacing w:before="0" w:after="283"/>
              <w:jc w:val="left"/>
              <w:rPr>
                <w:sz w:val="4"/>
                <w:szCs w:val="4"/>
              </w:rPr>
            </w:pPr>
            <w:r>
              <w:rPr>
                <w:sz w:val="4"/>
                <w:szCs w:val="4"/>
              </w:rPr>
            </w:r>
          </w:p>
        </w:tc>
      </w:tr>
      <w:tr>
        <w:trPr/>
        <w:tc>
          <w:tcPr>
            <w:tcW w:w="1217" w:type="dxa"/>
            <w:tcBorders/>
          </w:tcPr>
          <w:p>
            <w:pPr>
              <w:pStyle w:val="TableContents"/>
              <w:bidi w:val="0"/>
              <w:spacing w:before="0" w:after="283"/>
              <w:jc w:val="left"/>
              <w:rPr/>
            </w:pPr>
            <w:r>
              <w:rPr/>
              <w:t> </w:t>
            </w:r>
            <w:r>
              <w:rPr/>
              <w:t>10.9</w:t>
            </w:r>
          </w:p>
        </w:tc>
        <w:tc>
          <w:tcPr>
            <w:tcW w:w="649" w:type="dxa"/>
            <w:tcBorders/>
            <w:vAlign w:val="bottom"/>
          </w:tcPr>
          <w:p>
            <w:pPr>
              <w:pStyle w:val="TableContents"/>
              <w:bidi w:val="0"/>
              <w:spacing w:before="0" w:after="283"/>
              <w:jc w:val="left"/>
              <w:rPr/>
            </w:pPr>
            <w:r>
              <w:rPr/>
              <w:t>  </w:t>
            </w:r>
          </w:p>
        </w:tc>
        <w:tc>
          <w:tcPr>
            <w:tcW w:w="8339" w:type="dxa"/>
            <w:tcBorders/>
          </w:tcPr>
          <w:p>
            <w:pPr>
              <w:pStyle w:val="TableContents"/>
              <w:bidi w:val="0"/>
              <w:spacing w:before="0" w:after="283"/>
              <w:jc w:val="left"/>
              <w:rPr/>
            </w:pPr>
            <w:hyperlink r:id="rId25">
              <w:r>
                <w:rPr>
                  <w:rStyle w:val="InternetLink"/>
                </w:rPr>
                <w:t>Flash Alliance, Master Agreement dated as of July  7, 2006, by and among SanDisk Corporation, Toshiba Corporation and SanDisk (Ireland) Limited (incorporated by reference to Exhibit 10.7 to the Companys Registration Statement on Form 10, filed on November 25,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11"/>
        <w:gridCol w:w="587"/>
        <w:gridCol w:w="8407"/>
      </w:tblGrid>
      <w:tr>
        <w:trPr/>
        <w:tc>
          <w:tcPr>
            <w:tcW w:w="121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8407" w:type="dxa"/>
            <w:tcBorders/>
            <w:vAlign w:val="center"/>
          </w:tcPr>
          <w:p>
            <w:pPr>
              <w:pStyle w:val="TableContents"/>
              <w:bidi w:val="0"/>
              <w:spacing w:before="0" w:after="283"/>
              <w:jc w:val="left"/>
              <w:rPr>
                <w:sz w:val="4"/>
                <w:szCs w:val="4"/>
              </w:rPr>
            </w:pPr>
            <w:r>
              <w:rPr>
                <w:sz w:val="4"/>
                <w:szCs w:val="4"/>
              </w:rPr>
            </w:r>
          </w:p>
        </w:tc>
      </w:tr>
      <w:tr>
        <w:trPr/>
        <w:tc>
          <w:tcPr>
            <w:tcW w:w="1211"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587" w:type="dxa"/>
            <w:tcBorders/>
            <w:vAlign w:val="bottom"/>
          </w:tcPr>
          <w:p>
            <w:pPr>
              <w:pStyle w:val="TableContents"/>
              <w:bidi w:val="0"/>
              <w:spacing w:before="0" w:after="283"/>
              <w:jc w:val="left"/>
              <w:rPr/>
            </w:pPr>
            <w:r>
              <w:rPr/>
              <w:t>  </w:t>
            </w:r>
          </w:p>
        </w:tc>
        <w:tc>
          <w:tcPr>
            <w:tcW w:w="840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10.10</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26">
              <w:r>
                <w:rPr>
                  <w:rStyle w:val="InternetLink"/>
                </w:rPr>
                <w:t xml:space="preserve">Operating Agreement of Flash Alliance, Ltd., dated as of July  7, 2006, by and between Toshiba Corporation and SanDisk (Ireland) Limited (incorporated by reference to Exhibit 10.8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10.11</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27">
              <w:r>
                <w:rPr>
                  <w:rStyle w:val="InternetLink"/>
                </w:rPr>
                <w:t xml:space="preserve">Joint Venture Restructure Agreement, dated as of January  29, 2009, by and among SanDisk Corporation, SanDisk (Ireland) Limited, SanDisk (Cayman) Limited, Toshiba Corporation, Flash Partners Limited and Flash Alliance Limited (incorporated by reference to Exhibit 10.9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10.12</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28">
              <w:r>
                <w:rPr>
                  <w:rStyle w:val="InternetLink"/>
                </w:rPr>
                <w:t xml:space="preserve">New Y2 Facility Agreement, dated October  20, 2015, by and among SanDisk Corporation, SanDisk (Ireland) Limited, SanDisk (Cayman) Limited, SanDisk Flash B.V., Toshiba Corporation, Flash Partners Limited, Flash Alliance Limited and Flash Forward Limited (incorporated by reference to Exhibit 10.10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10.13</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29">
              <w:r>
                <w:rPr>
                  <w:rStyle w:val="InternetLink"/>
                </w:rPr>
                <w:t xml:space="preserve">FAL Commitment and Extension Agreement, dated as of December  12, 2017, by and among Western Digital Corporation, SanDisk LLC, SanDisk (Ireland) Limited and Toshiba Memory Corporation (incorporated by reference to Exhibit 10.11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10.14</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30">
              <w:r>
                <w:rPr>
                  <w:rStyle w:val="InternetLink"/>
                </w:rPr>
                <w:t xml:space="preserve">Y6 Facility Agreement, dated as of December  12, 2017, by and among Western Digital Corporation, SanDisk LLC, SanDisk (Cayman) Limited, SanDisk (Ireland) Limited, SanDisk Flash B.V., Flash Partners, Ltd., Flash Alliance, Ltd., Flash Forward, Ltd. and Toshiba Memory Corporation (incorporated by reference to Exhibit 10.12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10.15</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31">
              <w:r>
                <w:rPr>
                  <w:rStyle w:val="InternetLink"/>
                </w:rPr>
                <w:t xml:space="preserve">K1 Facility Agreement, dated as of May  15, 2019, by and among Western Digital Corporation, SanDisk LLC, SanDisk (Cayman) Limited, SanDisk (Ireland) Limited, SanDisk Flash B.V., Flash Partners, Ltd., Flash Alliance, Ltd., Flash Forward Ltd., Toshiba Memory Corporation and Toshiba Memory Iwate Corporation (incorporated by reference to Exhibit 10.13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10.16</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32">
              <w:r>
                <w:rPr>
                  <w:rStyle w:val="InternetLink"/>
                </w:rPr>
                <w:t xml:space="preserve">Confidential Settlement and Mutual Release Agreement, dated as of December  12, 2017, by and among Western Digital Corporation, SanDisk LLC, SanDisk (Cayman) Limited, SanDisk (Ireland) Limited, SanDisk Flash B.V., Toshiba Corporation and Toshiba Memory Corporation (incorporated by reference to Exhibit 10.14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10.17</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33">
              <w:r>
                <w:rPr>
                  <w:rStyle w:val="InternetLink"/>
                </w:rPr>
                <w:t xml:space="preserve">Flash Forward Master Agreement, dated as of July  13, 2010, by and among, on one side, Toshiba Corporation and, on the other side, SanDisk Corporation, and SanDisk Flash B.V. (incorporated by reference to Exhibit 10.15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10.18</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34">
              <w:r>
                <w:rPr>
                  <w:rStyle w:val="InternetLink"/>
                </w:rPr>
                <w:t xml:space="preserve">Operating Agreement of Flash Forward, Ltd, dated as of March  1, 2011, between Toshiba Corporation and SanDisk Flash B.V. (incorporated by reference to Exhibit 10.16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10.19</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35">
              <w:r>
                <w:rPr>
                  <w:rStyle w:val="InternetLink"/>
                </w:rPr>
                <w:t>FFL Commitment and Extension Agreement, dated as of December  12, 2017, by and among Toshiba Memory Corporation, Western Digital Corporation, SanDisk LLC and SanDisk Flash B.V. (incorporated by reference to Exhibit 10.17 to the Companys Registration Statement on Form 10, filed on November 25, 2024)</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10.20</w:t>
            </w:r>
          </w:p>
        </w:tc>
        <w:tc>
          <w:tcPr>
            <w:tcW w:w="587"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hyperlink r:id="rId36">
              <w:r>
                <w:rPr>
                  <w:rStyle w:val="InternetLink"/>
                </w:rPr>
                <w:t xml:space="preserve">FFL Second Commitment and Extension Agreement, dated as of May  15, 2019, by and among Toshiba Memory Corporation, Toshiba Memory Iwate Corporation, Western Digital Corporation, SanDisk LLC, SanDisk (Cayman) Limited, SanDisk (Ireland) Limited, SanDisk Flash B.V., Flash Partners, Ltd., Flash Alliance, Ltd., and Flash Forward, Ltd. (incorporated by reference to Exhibit 10.18 to the Companys Registration Statement on Form 10, filed on November 25,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198"/>
        <w:gridCol w:w="552"/>
        <w:gridCol w:w="8455"/>
      </w:tblGrid>
      <w:tr>
        <w:trPr/>
        <w:tc>
          <w:tcPr>
            <w:tcW w:w="1198"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8455" w:type="dxa"/>
            <w:tcBorders/>
            <w:vAlign w:val="center"/>
          </w:tcPr>
          <w:p>
            <w:pPr>
              <w:pStyle w:val="TableContents"/>
              <w:bidi w:val="0"/>
              <w:spacing w:before="0" w:after="283"/>
              <w:jc w:val="left"/>
              <w:rPr>
                <w:sz w:val="4"/>
                <w:szCs w:val="4"/>
              </w:rPr>
            </w:pPr>
            <w:r>
              <w:rPr>
                <w:sz w:val="4"/>
                <w:szCs w:val="4"/>
              </w:rPr>
            </w:r>
          </w:p>
        </w:tc>
      </w:tr>
      <w:tr>
        <w:trPr/>
        <w:tc>
          <w:tcPr>
            <w:tcW w:w="1198"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552" w:type="dxa"/>
            <w:tcBorders/>
            <w:vAlign w:val="bottom"/>
          </w:tcPr>
          <w:p>
            <w:pPr>
              <w:pStyle w:val="TableContents"/>
              <w:bidi w:val="0"/>
              <w:spacing w:before="0" w:after="283"/>
              <w:jc w:val="left"/>
              <w:rPr/>
            </w:pPr>
            <w:r>
              <w:rPr/>
              <w:t>  </w:t>
            </w:r>
          </w:p>
        </w:tc>
        <w:tc>
          <w:tcPr>
            <w:tcW w:w="845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10.21</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37">
              <w:r>
                <w:rPr>
                  <w:rStyle w:val="InternetLink"/>
                </w:rPr>
                <w:t xml:space="preserve">Flash Partners Master Agreement, dated as of September  10, 2004, by and among Toshiba Corporation, SanDisk Corporation, and SanDisk International Limited. (incorporated by reference to Exhibit 10.19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10.22</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38">
              <w:r>
                <w:rPr>
                  <w:rStyle w:val="InternetLink"/>
                </w:rPr>
                <w:t xml:space="preserve">Operating Agreement of Flash Partners Ltd., dated as of September  10, 2004, by and between Toshiba Corporation and SanDisk International Limited (incorporated by reference to Exhibit 10.20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10.23</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39">
              <w:r>
                <w:rPr>
                  <w:rStyle w:val="InternetLink"/>
                </w:rPr>
                <w:t xml:space="preserve">FPL Commitment and Extension Agreement, dated as of October  20, 2015, by and among Toshiba Corporation, SanDisk Corporation and SanDisk (Cayman) Limited (incorporated by reference to Exhibit 10.21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10.24</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0">
              <w:r>
                <w:rPr>
                  <w:rStyle w:val="InternetLink"/>
                </w:rPr>
                <w:t xml:space="preserve">K2 PH1 Facility Agreement, dated as of June  27, 2024, by and among Kioxia Corporation, Kioxia Iwate Corporation, Western Digital Corporation, SanDisk LLC, SanDisk (Cayman) Limited, SanDisk (Ireland) Limited, SanDisk Flash B.V., Flash Alliance, Ltd., and Flash Forward, Ltd. (incorporated by reference to Exhibit 10.22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10.25</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1">
              <w:r>
                <w:rPr>
                  <w:rStyle w:val="InternetLink"/>
                </w:rPr>
                <w:t xml:space="preserve">BiCS License &amp; Development Agreement, dated as of March  1, 2011, by and between Toshiba Corporation and SanDisk Corporation (incorporated by reference to Exhibit 10.23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10.26</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2">
              <w:r>
                <w:rPr>
                  <w:rStyle w:val="InternetLink"/>
                </w:rPr>
                <w:t xml:space="preserve">Amended and Restated Joint Memory Development Agreement, dated as of June  27, 2024, by and between Kioxia Corporation and SanDisk LLC. (incorporated by reference to Exhibit 10.24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10.27</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3">
              <w:r>
                <w:rPr>
                  <w:rStyle w:val="InternetLink"/>
                </w:rPr>
                <w:t xml:space="preserve">Amended and Restated Equity Purchase Agreement, dated as of September  12, 2024, by and between SanDisk China Limited and JCET Management Co., Ltd. (incorporated by reference to Exhibit 10.25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10.28</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4">
              <w:r>
                <w:rPr>
                  <w:rStyle w:val="InternetLink"/>
                </w:rPr>
                <w:t xml:space="preserve">Form of Indemnification Agreement for Directors and Officers (incorporated by reference to Exhibit 10.10 to the Companys Current Report on Form 8-K dated February 24, 2025)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10.29</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5">
              <w:r>
                <w:rPr>
                  <w:rStyle w:val="InternetLink"/>
                </w:rPr>
                <w:t xml:space="preserve">Sandisk Corporation 2025 Long Term Incentive Plan (incorporated by reference to Exhibit 99.1 to the Companys Registration Statement on Form S-8 (Commission file number 333-285123), filed on February 21, 2025)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10.30</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6">
              <w:r>
                <w:rPr>
                  <w:rStyle w:val="InternetLink"/>
                </w:rPr>
                <w:t xml:space="preserve">Form of Restricted Stock Unit Award Agreement - Vice President and Above (Applicable to New Grants Post-Spin-Off) (incorporated by reference to Exhibit 10.27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10.31</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7">
              <w:r>
                <w:rPr>
                  <w:rStyle w:val="InternetLink"/>
                </w:rPr>
                <w:t xml:space="preserve">Form of Performance Stock Unit Award Agreement (Applicable to New Grants Post-Spin-Off) (incorporated by reference to Exhibit 10.28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10.32</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8">
              <w:r>
                <w:rPr>
                  <w:rStyle w:val="InternetLink"/>
                </w:rPr>
                <w:t xml:space="preserve">Form of Assumed and Converted Fiscal 2022, 2023 &amp; 2024 Restricted Stock Unit Award Agreement - VP and above (incorporated by reference to Exhibit 10.29 to the Companys Registration Statement on Form 10, filed on November 29,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10.33</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49">
              <w:r>
                <w:rPr>
                  <w:rStyle w:val="InternetLink"/>
                </w:rPr>
                <w:t xml:space="preserve">Form of Assumed and Converted Fiscal 2025 Restricted Stock Unit Award Agreement - VP and above (incorporated by reference to Exhibit 10.30 to the Companys Registration Statement on Form 10, filed on November 25, 2024)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10.34</w:t>
            </w:r>
          </w:p>
        </w:tc>
        <w:tc>
          <w:tcPr>
            <w:tcW w:w="552" w:type="dxa"/>
            <w:tcBorders/>
            <w:vAlign w:val="bottom"/>
          </w:tcPr>
          <w:p>
            <w:pPr>
              <w:pStyle w:val="TableContents"/>
              <w:bidi w:val="0"/>
              <w:spacing w:before="0" w:after="283"/>
              <w:jc w:val="left"/>
              <w:rPr/>
            </w:pPr>
            <w:r>
              <w:rPr/>
              <w:t>  </w:t>
            </w:r>
          </w:p>
        </w:tc>
        <w:tc>
          <w:tcPr>
            <w:tcW w:w="8455" w:type="dxa"/>
            <w:tcBorders/>
          </w:tcPr>
          <w:p>
            <w:pPr>
              <w:pStyle w:val="TableContents"/>
              <w:bidi w:val="0"/>
              <w:spacing w:before="0" w:after="283"/>
              <w:jc w:val="left"/>
              <w:rPr/>
            </w:pPr>
            <w:hyperlink r:id="rId50">
              <w:r>
                <w:rPr>
                  <w:rStyle w:val="InternetLink"/>
                </w:rPr>
                <w:t xml:space="preserve">Form of Assumed and Converted Fiscal 2023 Performance Stock Unit Award Agreement (incorporated by reference to Exhibit 10.31 to the Companys Registration Statement on Form 10, filed on November 25,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11"/>
        <w:gridCol w:w="407"/>
        <w:gridCol w:w="8587"/>
      </w:tblGrid>
      <w:tr>
        <w:trPr/>
        <w:tc>
          <w:tcPr>
            <w:tcW w:w="1211"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8587" w:type="dxa"/>
            <w:tcBorders/>
            <w:vAlign w:val="center"/>
          </w:tcPr>
          <w:p>
            <w:pPr>
              <w:pStyle w:val="TableContents"/>
              <w:bidi w:val="0"/>
              <w:spacing w:before="0" w:after="283"/>
              <w:jc w:val="left"/>
              <w:rPr>
                <w:sz w:val="4"/>
                <w:szCs w:val="4"/>
              </w:rPr>
            </w:pPr>
            <w:r>
              <w:rPr>
                <w:sz w:val="4"/>
                <w:szCs w:val="4"/>
              </w:rPr>
            </w:r>
          </w:p>
        </w:tc>
      </w:tr>
      <w:tr>
        <w:trPr/>
        <w:tc>
          <w:tcPr>
            <w:tcW w:w="1211"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407" w:type="dxa"/>
            <w:tcBorders/>
            <w:vAlign w:val="bottom"/>
          </w:tcPr>
          <w:p>
            <w:pPr>
              <w:pStyle w:val="TableContents"/>
              <w:bidi w:val="0"/>
              <w:spacing w:before="0" w:after="283"/>
              <w:jc w:val="left"/>
              <w:rPr/>
            </w:pPr>
            <w:r>
              <w:rPr/>
              <w:t>  </w:t>
            </w:r>
          </w:p>
        </w:tc>
        <w:tc>
          <w:tcPr>
            <w:tcW w:w="858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10.35</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1">
              <w:r>
                <w:rPr>
                  <w:rStyle w:val="InternetLink"/>
                </w:rPr>
                <w:t xml:space="preserve">Form of Assumed and Converted Fiscal 2024 Performance Stock Unit Award Agreement (incorporated by reference to Exhibit 10.32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10.36</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2">
              <w:r>
                <w:rPr>
                  <w:rStyle w:val="InternetLink"/>
                </w:rPr>
                <w:t xml:space="preserve">Form of Assumed and Converted Fiscal 2025 Performance Stock Unit Award Agreement (incorporated by reference to Exhibit 10.33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10.37</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3">
              <w:r>
                <w:rPr>
                  <w:rStyle w:val="InternetLink"/>
                </w:rPr>
                <w:t xml:space="preserve">Form of Non-Employee Director Restricted Stock Unit Program (incorporated by reference to Exhibit 10.34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10.38</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4">
              <w:r>
                <w:rPr>
                  <w:rStyle w:val="InternetLink"/>
                </w:rPr>
                <w:t xml:space="preserve">Form of Deferred Compensation Plan (incorporated by reference to Exhibit 10.35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10.39</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5">
              <w:r>
                <w:rPr>
                  <w:rStyle w:val="InternetLink"/>
                </w:rPr>
                <w:t xml:space="preserve">Sandisk Corporation 2025 Employee Stock Purchase Plan (incorporated by reference to Exhibit 99.7 to the Companys Registration Statement on Form S-8, filed on February 21, 2025)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10.40</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6">
              <w:r>
                <w:rPr>
                  <w:rStyle w:val="InternetLink"/>
                </w:rPr>
                <w:t xml:space="preserve">Form of Executive Severance Plan (incorporated by reference to Exhibit 10.37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10.41</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7">
              <w:r>
                <w:rPr>
                  <w:rStyle w:val="InternetLink"/>
                </w:rPr>
                <w:t xml:space="preserve">Form of Change in Control Severance Plan (incorporated by reference to Exhibit 10.38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10.42</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8">
              <w:r>
                <w:rPr>
                  <w:rStyle w:val="InternetLink"/>
                </w:rPr>
                <w:t xml:space="preserve">Form of Executive Short-Term Incentive Plan (incorporated by reference to Exhibit 10.39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10.43</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59">
              <w:r>
                <w:rPr>
                  <w:rStyle w:val="InternetLink"/>
                </w:rPr>
                <w:t xml:space="preserve">Offer Letter, dated as of July  1, 2024, to Luis Felipe Visoso (incorporated by reference to Exhibit 10.40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21.1</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60">
              <w:r>
                <w:rPr>
                  <w:rStyle w:val="InternetLink"/>
                </w:rPr>
                <w:t xml:space="preserve">Subsidiaries of the Registrant (incorporated by reference to Exhibit 21.1 to the Companys Registration Statement on Form 10, filed on November 25, 2024) </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23.1</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61">
              <w:r>
                <w:rPr>
                  <w:rStyle w:val="InternetLink"/>
                </w:rPr>
                <w:t>Consent of KPMG LLP#</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23.2</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62">
              <w:r>
                <w:rPr>
                  <w:rStyle w:val="InternetLink"/>
                </w:rPr>
                <w:t>Consent of OMelveny &amp; Myers LLP (included in Exhibit 5.1)#</w:t>
              </w:r>
            </w:hyperlink>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 </w:t>
            </w:r>
            <w:r>
              <w:rPr/>
              <w:t>24.1</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fldChar w:fldCharType="begin"/>
            </w:r>
            <w:r>
              <w:rPr>
                <w:rStyle w:val="InternetLink"/>
              </w:rPr>
              <w:instrText xml:space="preserve"> HYPERLINK "http://www.sec.gov/Archives/edgar/data/2023554/000119312525085694/d934557ds1.htm" \l "sig"</w:instrText>
            </w:r>
            <w:r>
              <w:rPr>
                <w:rStyle w:val="InternetLink"/>
              </w:rPr>
              <w:fldChar w:fldCharType="separate"/>
            </w:r>
            <w:r>
              <w:rPr>
                <w:rStyle w:val="InternetLink"/>
              </w:rPr>
              <w:t xml:space="preserve">Power of Attorney (included on the signature page to this Registration Statement)# </w:t>
            </w:r>
            <w:r>
              <w:rPr>
                <w:rStyle w:val="InternetLink"/>
              </w:rPr>
              <w:fldChar w:fldCharType="end"/>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101.INS</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Inline XBRL Instance Document.#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101.SCH</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Inline XBRL Taxonomy Extension Schema Document.#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101.CAL</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Inline XBRL Taxonomy Extension Calculation Linkbase Document.#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101.DEF</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Inline XBRL Taxonomy Extension Definition Linkbase Document.#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101.LAB</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Inline XBRL Taxonomy Extension Label Linkbase Document.#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101.PRE</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Inline XBRL Taxonomy Extension Presentation Linkbase Document.#</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104</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Cover Page Interactive Data File (formatted as Inline XBRL and contained in Exhibit 101).#</w:t>
            </w:r>
          </w:p>
        </w:tc>
      </w:tr>
      <w:tr>
        <w:trPr>
          <w:trHeight w:val="120" w:hRule="atLeast"/>
        </w:trPr>
        <w:tc>
          <w:tcPr>
            <w:tcW w:w="1211" w:type="dxa"/>
            <w:tcBorders/>
            <w:vAlign w:val="center"/>
          </w:tcPr>
          <w:p>
            <w:pPr>
              <w:pStyle w:val="TableContents"/>
              <w:bidi w:val="0"/>
              <w:spacing w:before="0" w:after="283"/>
              <w:jc w:val="left"/>
              <w:rPr>
                <w:sz w:val="4"/>
                <w:szCs w:val="4"/>
              </w:rPr>
            </w:pPr>
            <w:r>
              <w:rPr>
                <w:sz w:val="4"/>
                <w:szCs w:val="4"/>
              </w:rPr>
            </w:r>
          </w:p>
        </w:tc>
        <w:tc>
          <w:tcPr>
            <w:tcW w:w="8994"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107</w:t>
            </w:r>
          </w:p>
        </w:tc>
        <w:tc>
          <w:tcPr>
            <w:tcW w:w="407"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63">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Financial Statement Schedules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 schedules have been omitted because they are not applicable, not required or the required information is included in the combined Financial Statements or notes thereto (see the Index to Financial Statements included on page F-1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17.</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(c) 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sig"/>
      <w:bookmarkEnd w:id="4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Milpitas, State of California, on May 1,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SANDISK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Bernard Shek</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Bernard Shek</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Chief Legal</w:t>
            </w:r>
          </w:p>
          <w:p>
            <w:pPr>
              <w:pStyle w:val="TableContents"/>
              <w:bidi w:val="0"/>
              <w:spacing w:before="0" w:after="20"/>
              <w:jc w:val="left"/>
              <w:rPr/>
            </w:pPr>
            <w:r>
              <w:rPr/>
              <w:t>   </w:t>
            </w:r>
            <w:r>
              <w:rPr>
                <w:rFonts w:ascii="Times New Roman" w:hAnsi="Times New Roman"/>
                <w:sz w:val="20"/>
              </w:rPr>
              <w:t>Officerand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51"/>
        <w:gridCol w:w="122"/>
        <w:gridCol w:w="5035"/>
        <w:gridCol w:w="202"/>
        <w:gridCol w:w="1895"/>
      </w:tblGrid>
      <w:tr>
        <w:trPr/>
        <w:tc>
          <w:tcPr>
            <w:tcW w:w="295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3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9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50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8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David V. Goeckeler</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Chair of the Board</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Luis F. Visoso</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Michael R. Pokorny</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center"/>
              <w:rPr>
                <w:rFonts w:ascii="Times New Roman" w:hAnsi="Times New Roman"/>
                <w:sz w:val="20"/>
              </w:rPr>
            </w:pPr>
            <w:r>
              <w:rPr>
                <w:rFonts w:ascii="Times New Roman" w:hAnsi="Times New Roman"/>
                <w:sz w:val="20"/>
              </w:rPr>
              <w:t>Vice President, 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Kimberly E. Alexy</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Richard B. Cassidy II</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Thomas Caulfield</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c>
          <w:tcPr>
            <w:tcW w:w="2951" w:type="dxa"/>
            <w:tcBorders/>
          </w:tcPr>
          <w:p>
            <w:pPr>
              <w:pStyle w:val="TableContents"/>
              <w:bidi w:val="0"/>
              <w:spacing w:before="0" w:after="0"/>
              <w:jc w:val="left"/>
              <w:rPr/>
            </w:pPr>
            <w:r>
              <w:rPr/>
              <w:t> </w:t>
            </w:r>
          </w:p>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Devinder Kumar</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Matthew E. Massengill</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Necip Sayiner</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Ellyn J. Shook</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r>
        <w:trPr>
          <w:trHeight w:val="240" w:hRule="atLeast"/>
        </w:trPr>
        <w:tc>
          <w:tcPr>
            <w:tcW w:w="2951" w:type="dxa"/>
            <w:tcBorders/>
            <w:vAlign w:val="center"/>
          </w:tcPr>
          <w:p>
            <w:pPr>
              <w:pStyle w:val="TableContents"/>
              <w:bidi w:val="0"/>
              <w:spacing w:before="0" w:after="283"/>
              <w:jc w:val="left"/>
              <w:rPr>
                <w:sz w:val="4"/>
                <w:szCs w:val="4"/>
              </w:rPr>
            </w:pPr>
            <w:r>
              <w:rPr>
                <w:sz w:val="4"/>
                <w:szCs w:val="4"/>
              </w:rPr>
            </w:r>
          </w:p>
        </w:tc>
        <w:tc>
          <w:tcPr>
            <w:tcW w:w="5157"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w:t>
            </w:r>
          </w:p>
          <w:p>
            <w:pPr>
              <w:pStyle w:val="TableContents"/>
              <w:bidi w:val="0"/>
              <w:spacing w:before="0" w:after="20"/>
              <w:jc w:val="center"/>
              <w:rPr>
                <w:rFonts w:ascii="Times New Roman" w:hAnsi="Times New Roman"/>
                <w:b/>
                <w:sz w:val="20"/>
              </w:rPr>
            </w:pPr>
            <w:r>
              <w:rPr>
                <w:rFonts w:ascii="Times New Roman" w:hAnsi="Times New Roman"/>
                <w:b/>
                <w:sz w:val="20"/>
              </w:rPr>
              <w:t>Miyuki Suzuki</w:t>
            </w:r>
          </w:p>
        </w:tc>
        <w:tc>
          <w:tcPr>
            <w:tcW w:w="122" w:type="dxa"/>
            <w:tcBorders/>
            <w:vAlign w:val="bottom"/>
          </w:tcPr>
          <w:p>
            <w:pPr>
              <w:pStyle w:val="TableContents"/>
              <w:bidi w:val="0"/>
              <w:spacing w:before="0" w:after="283"/>
              <w:jc w:val="left"/>
              <w:rPr/>
            </w:pPr>
            <w:r>
              <w:rPr/>
              <w:t>  </w:t>
            </w:r>
          </w:p>
        </w:tc>
        <w:tc>
          <w:tcPr>
            <w:tcW w:w="503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895" w:type="dxa"/>
            <w:tcBorders/>
          </w:tcPr>
          <w:p>
            <w:pPr>
              <w:pStyle w:val="TableContents"/>
              <w:bidi w:val="0"/>
              <w:spacing w:before="0" w:after="283"/>
              <w:jc w:val="center"/>
              <w:rPr/>
            </w:pPr>
            <w:r>
              <w:rPr/>
              <w:t>May 1, 2025</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center"/>
              <w:rPr>
                <w:b/>
              </w:rPr>
            </w:pPr>
            <w:r>
              <w:rPr>
                <w:b/>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center"/>
              <w:rPr>
                <w:rFonts w:ascii="Times New Roman" w:hAnsi="Times New Roman"/>
                <w:b/>
                <w:sz w:val="20"/>
              </w:rPr>
            </w:pPr>
            <w:r>
              <w:rPr>
                <w:rFonts w:ascii="Times New Roman" w:hAnsi="Times New Roman"/>
                <w:b/>
                <w:sz w:val="20"/>
              </w:rPr>
              <w:t>/s/ Bernard Shek</w:t>
            </w:r>
          </w:p>
        </w:tc>
      </w:tr>
      <w:tr>
        <w:trPr/>
        <w:tc>
          <w:tcPr>
            <w:tcW w:w="6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center"/>
              <w:rPr>
                <w:b/>
              </w:rPr>
            </w:pPr>
            <w:r>
              <w:rPr>
                <w:b/>
              </w:rPr>
              <w:t>Bernard Shek</w:t>
            </w:r>
          </w:p>
        </w:tc>
      </w:tr>
      <w:tr>
        <w:trPr/>
        <w:tc>
          <w:tcPr>
            <w:tcW w:w="6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center"/>
              <w:rPr>
                <w:b/>
              </w:rPr>
            </w:pPr>
            <w:r>
              <w:rPr>
                <w:b/>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jpeg"/><Relationship Id="rId12" Type="http://schemas.openxmlformats.org/officeDocument/2006/relationships/hyperlink" Target="http://www.sec.gov/Archives/edgar/data/2023554/000119312525033433/d849281dex21.htm" TargetMode="External"/><Relationship Id="rId13" Type="http://schemas.openxmlformats.org/officeDocument/2006/relationships/hyperlink" Target="http://www.sec.gov/Archives/edgar/data/2023554/000119312525033433/d849281dex31.htm" TargetMode="External"/><Relationship Id="rId14" Type="http://schemas.openxmlformats.org/officeDocument/2006/relationships/hyperlink" Target="http://www.sec.gov/Archives/edgar/data/2023554/000119312525027285/d229754dex31.htm" TargetMode="External"/><Relationship Id="rId15" Type="http://schemas.openxmlformats.org/officeDocument/2006/relationships/hyperlink" Target="http://www.sec.gov/Archives/edgar/data/2023554/000119312525033433/d849281dex106.htm" TargetMode="External"/><Relationship Id="rId16" Type="http://schemas.openxmlformats.org/officeDocument/2006/relationships/hyperlink" Target="http://www.sec.gov/Archives/edgar/data/2023554/000119312525085694/d934557dex51.htm" TargetMode="External"/><Relationship Id="rId17" Type="http://schemas.openxmlformats.org/officeDocument/2006/relationships/hyperlink" Target="http://www.sec.gov/Archives/edgar/data/2023554/000119312525033433/d849281dex101.htm" TargetMode="External"/><Relationship Id="rId18" Type="http://schemas.openxmlformats.org/officeDocument/2006/relationships/hyperlink" Target="http://www.sec.gov/Archives/edgar/data/2023554/000119312525033433/d849281dex102.htm" TargetMode="External"/><Relationship Id="rId19" Type="http://schemas.openxmlformats.org/officeDocument/2006/relationships/hyperlink" Target="http://www.sec.gov/Archives/edgar/data/2023554/000119312525033433/d849281dex103.htm" TargetMode="External"/><Relationship Id="rId20" Type="http://schemas.openxmlformats.org/officeDocument/2006/relationships/hyperlink" Target="http://www.sec.gov/Archives/edgar/data/2023554/000119312525033433/d849281dex104.htm" TargetMode="External"/><Relationship Id="rId21" Type="http://schemas.openxmlformats.org/officeDocument/2006/relationships/hyperlink" Target="http://www.sec.gov/Archives/edgar/data/2023554/000119312525033433/d849281dex105.htm" TargetMode="External"/><Relationship Id="rId22" Type="http://schemas.openxmlformats.org/officeDocument/2006/relationships/hyperlink" Target="http://www.sec.gov/Archives/edgar/data/2023554/000119312525033433/d849281dex107.htm" TargetMode="External"/><Relationship Id="rId23" Type="http://schemas.openxmlformats.org/officeDocument/2006/relationships/hyperlink" Target="http://www.sec.gov/Archives/edgar/data/2023554/000119312525033433/d849281dex108.htm" TargetMode="External"/><Relationship Id="rId24" Type="http://schemas.openxmlformats.org/officeDocument/2006/relationships/hyperlink" Target="http://www.sec.gov/Archives/edgar/data/2023554/000119312525033433/d849281dex109.htm" TargetMode="External"/><Relationship Id="rId25" Type="http://schemas.openxmlformats.org/officeDocument/2006/relationships/hyperlink" Target="http://www.sec.gov/Archives/edgar/data/2023554/000119312524264578/d835366dex107.htm" TargetMode="External"/><Relationship Id="rId26" Type="http://schemas.openxmlformats.org/officeDocument/2006/relationships/hyperlink" Target="http://www.sec.gov/Archives/edgar/data/2023554/000119312524264578/d835366dex108.htm" TargetMode="External"/><Relationship Id="rId27" Type="http://schemas.openxmlformats.org/officeDocument/2006/relationships/hyperlink" Target="http://www.sec.gov/Archives/edgar/data/2023554/000119312524264578/d835366dex109.htm" TargetMode="External"/><Relationship Id="rId28" Type="http://schemas.openxmlformats.org/officeDocument/2006/relationships/hyperlink" Target="http://www.sec.gov/Archives/edgar/data/2023554/000119312524264578/d835366dex1010.htm" TargetMode="External"/><Relationship Id="rId29" Type="http://schemas.openxmlformats.org/officeDocument/2006/relationships/hyperlink" Target="http://www.sec.gov/Archives/edgar/data/2023554/000119312524264578/d835366dex1011.htm" TargetMode="External"/><Relationship Id="rId30" Type="http://schemas.openxmlformats.org/officeDocument/2006/relationships/hyperlink" Target="http://www.sec.gov/Archives/edgar/data/2023554/000119312524264578/d835366dex1012.htm" TargetMode="External"/><Relationship Id="rId31" Type="http://schemas.openxmlformats.org/officeDocument/2006/relationships/hyperlink" Target="http://www.sec.gov/Archives/edgar/data/2023554/000119312524264578/d835366dex1013.htm" TargetMode="External"/><Relationship Id="rId32" Type="http://schemas.openxmlformats.org/officeDocument/2006/relationships/hyperlink" Target="http://www.sec.gov/Archives/edgar/data/2023554/000119312524264578/d835366dex1014.htm" TargetMode="External"/><Relationship Id="rId33" Type="http://schemas.openxmlformats.org/officeDocument/2006/relationships/hyperlink" Target="http://www.sec.gov/Archives/edgar/data/2023554/000119312524264578/d835366dex1015.htm" TargetMode="External"/><Relationship Id="rId34" Type="http://schemas.openxmlformats.org/officeDocument/2006/relationships/hyperlink" Target="http://www.sec.gov/Archives/edgar/data/2023554/000119312524264578/d835366dex1016.htm" TargetMode="External"/><Relationship Id="rId35" Type="http://schemas.openxmlformats.org/officeDocument/2006/relationships/hyperlink" Target="http://www.sec.gov/Archives/edgar/data/2023554/000119312524264578/d835366dex1017.htm" TargetMode="External"/><Relationship Id="rId36" Type="http://schemas.openxmlformats.org/officeDocument/2006/relationships/hyperlink" Target="http://www.sec.gov/Archives/edgar/data/2023554/000119312524264578/d835366dex1018.htm" TargetMode="External"/><Relationship Id="rId37" Type="http://schemas.openxmlformats.org/officeDocument/2006/relationships/hyperlink" Target="http://www.sec.gov/Archives/edgar/data/2023554/000119312524264578/d835366dex1019.htm" TargetMode="External"/><Relationship Id="rId38" Type="http://schemas.openxmlformats.org/officeDocument/2006/relationships/hyperlink" Target="http://www.sec.gov/Archives/edgar/data/2023554/000119312524264578/d835366dex1020.htm" TargetMode="External"/><Relationship Id="rId39" Type="http://schemas.openxmlformats.org/officeDocument/2006/relationships/hyperlink" Target="http://www.sec.gov/Archives/edgar/data/2023554/000119312524264578/d835366dex1021.htm" TargetMode="External"/><Relationship Id="rId40" Type="http://schemas.openxmlformats.org/officeDocument/2006/relationships/hyperlink" Target="http://www.sec.gov/Archives/edgar/data/2023554/000119312524264578/d835366dex1022.htm" TargetMode="External"/><Relationship Id="rId41" Type="http://schemas.openxmlformats.org/officeDocument/2006/relationships/hyperlink" Target="http://www.sec.gov/Archives/edgar/data/2023554/000119312524264578/d835366dex1023.htm" TargetMode="External"/><Relationship Id="rId42" Type="http://schemas.openxmlformats.org/officeDocument/2006/relationships/hyperlink" Target="http://www.sec.gov/Archives/edgar/data/2023554/000119312524264578/d835366dex1024.htm" TargetMode="External"/><Relationship Id="rId43" Type="http://schemas.openxmlformats.org/officeDocument/2006/relationships/hyperlink" Target="http://www.sec.gov/Archives/edgar/data/2023554/000119312524264578/d835366dex1025.htm" TargetMode="External"/><Relationship Id="rId44" Type="http://schemas.openxmlformats.org/officeDocument/2006/relationships/hyperlink" Target="http://www.sec.gov/Archives/edgar/data/2023554/000119312525033433/d849281dex1010.htm" TargetMode="External"/><Relationship Id="rId45" Type="http://schemas.openxmlformats.org/officeDocument/2006/relationships/hyperlink" Target="http://www.sec.gov/Archives/edgar/data/2023554/000119312525031971/d157842dex991.htm" TargetMode="External"/><Relationship Id="rId46" Type="http://schemas.openxmlformats.org/officeDocument/2006/relationships/hyperlink" Target="http://www.sec.gov/Archives/edgar/data/2023554/000119312524264578/d835366dex1027.htm" TargetMode="External"/><Relationship Id="rId47" Type="http://schemas.openxmlformats.org/officeDocument/2006/relationships/hyperlink" Target="http://www.sec.gov/Archives/edgar/data/2023554/000119312524264578/d835366dex1028.htm" TargetMode="External"/><Relationship Id="rId48" Type="http://schemas.openxmlformats.org/officeDocument/2006/relationships/hyperlink" Target="http://www.sec.gov/Archives/edgar/data/2023554/000119312524264578/d835366dex1029.htm" TargetMode="External"/><Relationship Id="rId49" Type="http://schemas.openxmlformats.org/officeDocument/2006/relationships/hyperlink" Target="http://www.sec.gov/Archives/edgar/data/2023554/000119312524264578/d835366dex1030.htm" TargetMode="External"/><Relationship Id="rId50" Type="http://schemas.openxmlformats.org/officeDocument/2006/relationships/hyperlink" Target="http://www.sec.gov/Archives/edgar/data/2023554/000119312524264578/d835366dex1031.htm" TargetMode="External"/><Relationship Id="rId51" Type="http://schemas.openxmlformats.org/officeDocument/2006/relationships/hyperlink" Target="http://www.sec.gov/Archives/edgar/data/2023554/000119312524264578/d835366dex1032.htm" TargetMode="External"/><Relationship Id="rId52" Type="http://schemas.openxmlformats.org/officeDocument/2006/relationships/hyperlink" Target="http://www.sec.gov/Archives/edgar/data/2023554/000119312524264578/d835366dex1033.htm" TargetMode="External"/><Relationship Id="rId53" Type="http://schemas.openxmlformats.org/officeDocument/2006/relationships/hyperlink" Target="http://www.sec.gov/Archives/edgar/data/2023554/000119312524264578/d835366dex1034.htm" TargetMode="External"/><Relationship Id="rId54" Type="http://schemas.openxmlformats.org/officeDocument/2006/relationships/hyperlink" Target="http://www.sec.gov/Archives/edgar/data/2023554/000119312524264578/d835366dex1035.htm" TargetMode="External"/><Relationship Id="rId55" Type="http://schemas.openxmlformats.org/officeDocument/2006/relationships/hyperlink" Target="http://www.sec.gov/Archives/edgar/data/2023554/000119312525031971/d157842dex997.htm" TargetMode="External"/><Relationship Id="rId56" Type="http://schemas.openxmlformats.org/officeDocument/2006/relationships/hyperlink" Target="http://www.sec.gov/Archives/edgar/data/2023554/000119312524264578/d835366dex1037.htm" TargetMode="External"/><Relationship Id="rId57" Type="http://schemas.openxmlformats.org/officeDocument/2006/relationships/hyperlink" Target="http://www.sec.gov/Archives/edgar/data/2023554/000119312524264578/d835366dex1038.htm" TargetMode="External"/><Relationship Id="rId58" Type="http://schemas.openxmlformats.org/officeDocument/2006/relationships/hyperlink" Target="http://www.sec.gov/Archives/edgar/data/2023554/000119312524264578/d835366dex1039.htm" TargetMode="External"/><Relationship Id="rId59" Type="http://schemas.openxmlformats.org/officeDocument/2006/relationships/hyperlink" Target="http://www.sec.gov/Archives/edgar/data/2023554/000119312524264578/d835366dex1040.htm" TargetMode="External"/><Relationship Id="rId60" Type="http://schemas.openxmlformats.org/officeDocument/2006/relationships/hyperlink" Target="http://www.sec.gov/Archives/edgar/data/2023554/000119312524264578/d835366dex211.htm" TargetMode="External"/><Relationship Id="rId61" Type="http://schemas.openxmlformats.org/officeDocument/2006/relationships/hyperlink" Target="http://www.sec.gov/Archives/edgar/data/2023554/000119312525085694/d934557dex231.htm" TargetMode="External"/><Relationship Id="rId62" Type="http://schemas.openxmlformats.org/officeDocument/2006/relationships/hyperlink" Target="http://www.sec.gov/Archives/edgar/data/2023554/000119312525085694/d934557dex51.htm" TargetMode="External"/><Relationship Id="rId63" Type="http://schemas.openxmlformats.org/officeDocument/2006/relationships/hyperlink" Target="http://www.sec.gov/Archives/edgar/data/2023554/000119312525085694/d934557dexfilingfees.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252</Pages>
  <Words>127513</Words>
  <Characters>679667</Characters>
  <CharactersWithSpaces>816571</CharactersWithSpaces>
  <Paragraphs>25264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S-1/A</dc:title>
</cp:coreProperties>
</file>