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51435</wp:posOffset>
            </wp:positionV>
            <wp:extent cx="27686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52705</wp:posOffset>
            </wp:positionV>
            <wp:extent cx="2768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(Mark One)</w:t>
      </w:r>
    </w:p>
    <w:p>
      <w:pPr>
        <w:spacing w:after="0" w:line="44"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April 3, 2026</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6"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29" w:lineRule="exact"/>
        <w:rPr>
          <w:sz w:val="24"/>
          <w:szCs w:val="24"/>
          <w:color w:val="auto"/>
        </w:rPr>
      </w:pPr>
    </w:p>
    <w:p>
      <w:pPr>
        <w:ind w:left="3680"/>
        <w:spacing w:after="0"/>
        <w:tabs>
          <w:tab w:leader="none" w:pos="656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3691890</wp:posOffset>
            </wp:positionH>
            <wp:positionV relativeFrom="paragraph">
              <wp:posOffset>-3175</wp:posOffset>
            </wp:positionV>
            <wp:extent cx="1114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001-42420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73025</wp:posOffset>
            </wp:positionV>
            <wp:extent cx="27686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3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Sandisk Corporation</w:t>
      </w:r>
    </w:p>
    <w:p>
      <w:pPr>
        <w:sectPr>
          <w:pgSz w:w="11900" w:h="16838" w:orient="portrait"/>
          <w:cols w:equalWidth="0" w:num="1">
            <w:col w:w="11240"/>
          </w:cols>
          <w:pgMar w:left="320" w:top="1024" w:right="339" w:bottom="1440" w:gutter="0" w:footer="0" w:header="0"/>
        </w:sectPr>
      </w:pPr>
    </w:p>
    <w:p>
      <w:pPr>
        <w:spacing w:after="0" w:line="200" w:lineRule="exact"/>
        <w:rPr>
          <w:sz w:val="24"/>
          <w:szCs w:val="24"/>
          <w:color w:val="auto"/>
        </w:rPr>
      </w:pPr>
    </w:p>
    <w:p>
      <w:pPr>
        <w:spacing w:after="0" w:line="232" w:lineRule="exact"/>
        <w:rPr>
          <w:sz w:val="24"/>
          <w:szCs w:val="24"/>
          <w:color w:val="auto"/>
        </w:rPr>
      </w:pPr>
    </w:p>
    <w:p>
      <w:pPr>
        <w:jc w:val="center"/>
        <w:ind w:left="14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2"/>
          <w:szCs w:val="12"/>
          <w:i w:val="1"/>
          <w:iCs w:val="1"/>
          <w:color w:val="auto"/>
        </w:rPr>
        <w:t>(State or other jurisdiction of</w:t>
      </w:r>
    </w:p>
    <w:p>
      <w:pPr>
        <w:ind w:left="1720"/>
        <w:spacing w:after="0"/>
        <w:rPr>
          <w:sz w:val="20"/>
          <w:szCs w:val="20"/>
          <w:color w:val="auto"/>
        </w:rPr>
      </w:pPr>
      <w:r>
        <w:rPr>
          <w:rFonts w:ascii="Times New Roman" w:cs="Times New Roman" w:eastAsia="Times New Roman" w:hAnsi="Times New Roman"/>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-539115</wp:posOffset>
            </wp:positionH>
            <wp:positionV relativeFrom="paragraph">
              <wp:posOffset>53340</wp:posOffset>
            </wp:positionV>
            <wp:extent cx="27686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197" w:lineRule="exact"/>
        <w:rPr>
          <w:sz w:val="24"/>
          <w:szCs w:val="24"/>
          <w:color w:val="auto"/>
        </w:rPr>
      </w:pPr>
    </w:p>
    <w:p>
      <w:pPr>
        <w:jc w:val="center"/>
        <w:ind w:left="-1599"/>
        <w:spacing w:after="0"/>
        <w:rPr>
          <w:sz w:val="20"/>
          <w:szCs w:val="20"/>
          <w:color w:val="auto"/>
        </w:rPr>
      </w:pPr>
      <w:r>
        <w:rPr>
          <w:rFonts w:ascii="Times New Roman" w:cs="Times New Roman" w:eastAsia="Times New Roman" w:hAnsi="Times New Roman"/>
          <w:sz w:val="16"/>
          <w:szCs w:val="16"/>
          <w:b w:val="1"/>
          <w:bCs w:val="1"/>
          <w:color w:val="auto"/>
        </w:rPr>
        <w:t>99-1508671</w:t>
      </w:r>
    </w:p>
    <w:p>
      <w:pPr>
        <w:spacing w:after="0" w:line="163" w:lineRule="exact"/>
        <w:rPr>
          <w:sz w:val="24"/>
          <w:szCs w:val="24"/>
          <w:color w:val="auto"/>
        </w:rPr>
      </w:pPr>
    </w:p>
    <w:p>
      <w:pPr>
        <w:jc w:val="right"/>
        <w:ind w:right="1600"/>
        <w:spacing w:after="0"/>
        <w:rPr>
          <w:sz w:val="20"/>
          <w:szCs w:val="20"/>
          <w:color w:val="auto"/>
        </w:rPr>
      </w:pPr>
      <w:r>
        <w:rPr>
          <w:rFonts w:ascii="Times New Roman" w:cs="Times New Roman" w:eastAsia="Times New Roman" w:hAnsi="Times New Roman"/>
          <w:sz w:val="13"/>
          <w:szCs w:val="13"/>
          <w:i w:val="1"/>
          <w:iCs w:val="1"/>
          <w:color w:val="auto"/>
        </w:rPr>
        <w:t>(I.R.S. Employer Identification No.)</w:t>
      </w:r>
    </w:p>
    <w:p>
      <w:pPr>
        <w:spacing w:after="0" w:line="76" w:lineRule="exact"/>
        <w:rPr>
          <w:sz w:val="24"/>
          <w:szCs w:val="24"/>
          <w:color w:val="auto"/>
        </w:rPr>
      </w:pPr>
    </w:p>
    <w:p>
      <w:pPr>
        <w:sectPr>
          <w:pgSz w:w="11900" w:h="16838" w:orient="portrait"/>
          <w:cols w:equalWidth="0" w:num="2">
            <w:col w:w="3580" w:space="720"/>
            <w:col w:w="6940"/>
          </w:cols>
          <w:pgMar w:left="320" w:top="1024"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2740" w:type="dxa"/>
            <w:vAlign w:val="bottom"/>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951 Sandisk Drive</w:t>
            </w:r>
          </w:p>
        </w:tc>
        <w:tc>
          <w:tcPr>
            <w:tcW w:w="8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Milpitas</w:t>
            </w:r>
          </w:p>
        </w:tc>
        <w:tc>
          <w:tcPr>
            <w:tcW w:w="3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California</w:t>
            </w:r>
          </w:p>
        </w:tc>
        <w:tc>
          <w:tcPr>
            <w:tcW w:w="3080" w:type="dxa"/>
            <w:vAlign w:val="bottom"/>
            <w:gridSpan w:val="2"/>
          </w:tcPr>
          <w:p>
            <w:pPr>
              <w:jc w:val="right"/>
              <w:ind w:right="1605"/>
              <w:spacing w:after="0"/>
              <w:rPr>
                <w:sz w:val="20"/>
                <w:szCs w:val="20"/>
                <w:color w:val="auto"/>
              </w:rPr>
            </w:pPr>
            <w:r>
              <w:rPr>
                <w:rFonts w:ascii="Times New Roman" w:cs="Times New Roman" w:eastAsia="Times New Roman" w:hAnsi="Times New Roman"/>
                <w:sz w:val="14"/>
                <w:szCs w:val="14"/>
                <w:b w:val="1"/>
                <w:bCs w:val="1"/>
                <w:color w:val="auto"/>
              </w:rPr>
              <w:t>95035</w:t>
            </w:r>
          </w:p>
        </w:tc>
      </w:tr>
      <w:tr>
        <w:trPr>
          <w:trHeight w:val="183"/>
        </w:trPr>
        <w:tc>
          <w:tcPr>
            <w:tcW w:w="3580" w:type="dxa"/>
            <w:vAlign w:val="bottom"/>
            <w:gridSpan w:val="3"/>
          </w:tcPr>
          <w:p>
            <w:pPr>
              <w:ind w:left="1500"/>
              <w:spacing w:after="0"/>
              <w:rPr>
                <w:sz w:val="20"/>
                <w:szCs w:val="20"/>
                <w:color w:val="auto"/>
              </w:rPr>
            </w:pPr>
            <w:r>
              <w:rPr>
                <w:rFonts w:ascii="Times New Roman" w:cs="Times New Roman" w:eastAsia="Times New Roman" w:hAnsi="Times New Roman"/>
                <w:sz w:val="13"/>
                <w:szCs w:val="13"/>
                <w:i w:val="1"/>
                <w:iCs w:val="1"/>
                <w:color w:val="auto"/>
              </w:rPr>
              <w:t>(Address of principal executive offices)</w:t>
            </w:r>
          </w:p>
        </w:tc>
        <w:tc>
          <w:tcPr>
            <w:tcW w:w="1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tcPr>
          <w:p>
            <w:pPr>
              <w:jc w:val="center"/>
              <w:ind w:right="645"/>
              <w:spacing w:after="0"/>
              <w:rPr>
                <w:sz w:val="20"/>
                <w:szCs w:val="20"/>
                <w:color w:val="auto"/>
              </w:rPr>
            </w:pPr>
            <w:r>
              <w:rPr>
                <w:rFonts w:ascii="Times New Roman" w:cs="Times New Roman" w:eastAsia="Times New Roman" w:hAnsi="Times New Roman"/>
                <w:sz w:val="13"/>
                <w:szCs w:val="13"/>
                <w:i w:val="1"/>
                <w:iCs w:val="1"/>
                <w:color w:val="auto"/>
                <w:w w:val="98"/>
              </w:rPr>
              <w:t>(Zip Code)</w:t>
            </w:r>
          </w:p>
        </w:tc>
      </w:tr>
      <w:tr>
        <w:trPr>
          <w:trHeight w:val="401"/>
        </w:trPr>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80" w:type="dxa"/>
            <w:vAlign w:val="bottom"/>
            <w:gridSpan w:val="2"/>
          </w:tcPr>
          <w:p>
            <w:pPr>
              <w:jc w:val="center"/>
              <w:ind w:left="1342"/>
              <w:spacing w:after="0"/>
              <w:rPr>
                <w:sz w:val="20"/>
                <w:szCs w:val="20"/>
                <w:color w:val="auto"/>
              </w:rPr>
            </w:pPr>
            <w:r>
              <w:rPr>
                <w:rFonts w:ascii="Times New Roman" w:cs="Times New Roman" w:eastAsia="Times New Roman" w:hAnsi="Times New Roman"/>
                <w:sz w:val="16"/>
                <w:szCs w:val="16"/>
                <w:b w:val="1"/>
                <w:bCs w:val="1"/>
                <w:color w:val="auto"/>
              </w:rPr>
              <w:t>(408) 801-1000</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310"/>
        </w:trPr>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940" w:type="dxa"/>
            <w:vAlign w:val="bottom"/>
            <w:gridSpan w:val="3"/>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8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97"/>
        </w:trPr>
        <w:tc>
          <w:tcPr>
            <w:tcW w:w="752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8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195"/>
        </w:trPr>
        <w:tc>
          <w:tcPr>
            <w:tcW w:w="1520" w:type="dxa"/>
            <w:vAlign w:val="bottom"/>
          </w:tcPr>
          <w:p>
            <w:pPr>
              <w:spacing w:after="0"/>
              <w:rPr>
                <w:sz w:val="16"/>
                <w:szCs w:val="16"/>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8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260" w:type="dxa"/>
            <w:vAlign w:val="bottom"/>
          </w:tcPr>
          <w:p>
            <w:pPr>
              <w:spacing w:after="0"/>
              <w:rPr>
                <w:sz w:val="16"/>
                <w:szCs w:val="16"/>
                <w:color w:val="auto"/>
              </w:rPr>
            </w:pPr>
          </w:p>
        </w:tc>
        <w:tc>
          <w:tcPr>
            <w:tcW w:w="3080" w:type="dxa"/>
            <w:vAlign w:val="bottom"/>
            <w:gridSpan w:val="2"/>
          </w:tcPr>
          <w:p>
            <w:pPr>
              <w:jc w:val="center"/>
              <w:ind w:left="4"/>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5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58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1380" w:type="dxa"/>
            <w:vAlign w:val="bottom"/>
          </w:tcPr>
          <w:p>
            <w:pPr>
              <w:spacing w:after="0"/>
              <w:rPr>
                <w:sz w:val="20"/>
                <w:szCs w:val="20"/>
                <w:color w:val="auto"/>
              </w:rPr>
            </w:pPr>
          </w:p>
        </w:tc>
        <w:tc>
          <w:tcPr>
            <w:tcW w:w="2560" w:type="dxa"/>
            <w:vAlign w:val="bottom"/>
            <w:gridSpan w:val="2"/>
          </w:tcPr>
          <w:p>
            <w:pPr>
              <w:jc w:val="center"/>
              <w:ind w:right="1260"/>
              <w:spacing w:after="0"/>
              <w:rPr>
                <w:sz w:val="20"/>
                <w:szCs w:val="20"/>
                <w:color w:val="auto"/>
              </w:rPr>
            </w:pPr>
            <w:r>
              <w:rPr>
                <w:rFonts w:ascii="Times New Roman" w:cs="Times New Roman" w:eastAsia="Times New Roman" w:hAnsi="Times New Roman"/>
                <w:sz w:val="16"/>
                <w:szCs w:val="16"/>
                <w:color w:val="auto"/>
              </w:rPr>
              <w:t>SNDK</w:t>
            </w:r>
          </w:p>
        </w:tc>
        <w:tc>
          <w:tcPr>
            <w:tcW w:w="8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6"/>
        </w:trPr>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184150</wp:posOffset>
            </wp:positionV>
            <wp:extent cx="27686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p>
      <w:pPr>
        <w:ind w:left="460"/>
        <w:spacing w:after="0"/>
        <w:tabs>
          <w:tab w:leader="none" w:pos="2840" w:val="left"/>
          <w:tab w:leader="none" w:pos="4960" w:val="left"/>
          <w:tab w:leader="none" w:pos="7020" w:val="left"/>
          <w:tab w:leader="none" w:pos="928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Times New Roman" w:cs="Times New Roman" w:eastAsia="Times New Roman" w:hAnsi="Times New Roman"/>
          <w:sz w:val="14"/>
          <w:szCs w:val="14"/>
          <w:color w:val="auto"/>
        </w:rPr>
        <w:t>Emerging growth company</w:t>
      </w:r>
    </w:p>
    <w:p>
      <w:pPr>
        <w:spacing w:after="0" w:line="27" w:lineRule="exact"/>
        <w:rPr>
          <w:sz w:val="24"/>
          <w:szCs w:val="24"/>
          <w:color w:val="auto"/>
        </w:rPr>
      </w:pPr>
    </w:p>
    <w:p>
      <w:pPr>
        <w:ind w:left="1040"/>
        <w:spacing w:after="0" w:line="161" w:lineRule="exact"/>
        <w:tabs>
          <w:tab w:leader="none" w:pos="3260" w:val="left"/>
          <w:tab w:leader="none" w:pos="5500" w:val="left"/>
          <w:tab w:leader="none" w:pos="7740" w:val="left"/>
          <w:tab w:leader="none" w:pos="1000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MS PGothic" w:cs="MS PGothic" w:eastAsia="MS PGothic" w:hAnsi="MS PGothic"/>
          <w:sz w:val="14"/>
          <w:szCs w:val="14"/>
          <w:color w:val="auto"/>
        </w:rPr>
        <w:t>☐</w:t>
      </w:r>
    </w:p>
    <w:p>
      <w:pPr>
        <w:spacing w:after="0" w:line="268"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the close of business on April 24, 2026, 148,089,758 shares of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SANDISK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INDEX</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44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PAGE NO.</w:t>
            </w:r>
          </w:p>
        </w:tc>
        <w:tc>
          <w:tcPr>
            <w:tcW w:w="0" w:type="dxa"/>
            <w:vAlign w:val="bottom"/>
          </w:tcPr>
          <w:p>
            <w:pPr>
              <w:spacing w:after="0"/>
              <w:rPr>
                <w:sz w:val="1"/>
                <w:szCs w:val="1"/>
                <w:color w:val="auto"/>
              </w:rPr>
            </w:pPr>
          </w:p>
        </w:tc>
      </w:tr>
      <w:tr>
        <w:trPr>
          <w:trHeight w:val="199"/>
        </w:trPr>
        <w:tc>
          <w:tcPr>
            <w:tcW w:w="1020" w:type="dxa"/>
            <w:vAlign w:val="bottom"/>
          </w:tcPr>
          <w:p>
            <w:pPr>
              <w:spacing w:after="0"/>
              <w:rPr>
                <w:sz w:val="17"/>
                <w:szCs w:val="17"/>
                <w:color w:val="auto"/>
              </w:rPr>
            </w:pPr>
          </w:p>
        </w:tc>
        <w:tc>
          <w:tcPr>
            <w:tcW w:w="8780" w:type="dxa"/>
            <w:vAlign w:val="bottom"/>
          </w:tcPr>
          <w:p>
            <w:pPr>
              <w:ind w:left="3220"/>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8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Financial Statements (unaudited)</w:t>
            </w: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8780" w:type="dxa"/>
            <w:vAlign w:val="bottom"/>
          </w:tcPr>
          <w:p>
            <w:pPr>
              <w:ind w:left="500"/>
              <w:spacing w:after="0" w:line="175" w:lineRule="exact"/>
              <w:rPr>
                <w:sz w:val="20"/>
                <w:szCs w:val="20"/>
                <w:color w:val="auto"/>
              </w:rPr>
            </w:pPr>
            <w:r>
              <w:rPr>
                <w:rFonts w:ascii="Times New Roman" w:cs="Times New Roman" w:eastAsia="Times New Roman" w:hAnsi="Times New Roman"/>
                <w:sz w:val="16"/>
                <w:szCs w:val="16"/>
                <w:color w:val="auto"/>
              </w:rPr>
              <w:t>Condensed Consolidated Balance Sheets — As of April 3, 2026 and June 27, 2025</w:t>
            </w:r>
          </w:p>
        </w:tc>
        <w:tc>
          <w:tcPr>
            <w:tcW w:w="800" w:type="dxa"/>
            <w:vAlign w:val="bottom"/>
            <w:gridSpan w:val="4"/>
          </w:tcPr>
          <w:p>
            <w:pPr>
              <w:jc w:val="center"/>
              <w:ind w:left="559"/>
              <w:spacing w:after="0" w:line="175" w:lineRule="exact"/>
              <w:rPr>
                <w:sz w:val="20"/>
                <w:szCs w:val="20"/>
                <w:color w:val="auto"/>
              </w:rPr>
            </w:pPr>
            <w:r>
              <w:rPr>
                <w:rFonts w:ascii="Times New Roman" w:cs="Times New Roman" w:eastAsia="Times New Roman" w:hAnsi="Times New Roman"/>
                <w:sz w:val="16"/>
                <w:szCs w:val="16"/>
                <w:color w:val="3635D6"/>
                <w:w w:val="99"/>
              </w:rPr>
              <w:t>4</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rPr>
                <w:sz w:val="15"/>
                <w:szCs w:val="15"/>
                <w:color w:val="auto"/>
              </w:rPr>
            </w:pPr>
          </w:p>
        </w:tc>
        <w:tc>
          <w:tcPr>
            <w:tcW w:w="8780" w:type="dxa"/>
            <w:vAlign w:val="bottom"/>
            <w:shd w:val="clear" w:color="auto" w:fill="CCEEFF"/>
          </w:tcPr>
          <w:p>
            <w:pPr>
              <w:ind w:left="500"/>
              <w:spacing w:after="0" w:line="175" w:lineRule="exact"/>
              <w:rPr>
                <w:sz w:val="20"/>
                <w:szCs w:val="20"/>
                <w:color w:val="auto"/>
              </w:rPr>
            </w:pPr>
            <w:r>
              <w:rPr>
                <w:rFonts w:ascii="Times New Roman" w:cs="Times New Roman" w:eastAsia="Times New Roman" w:hAnsi="Times New Roman"/>
                <w:sz w:val="16"/>
                <w:szCs w:val="16"/>
                <w:color w:val="auto"/>
              </w:rPr>
              <w:t>Condensed Consolidated Statements of Operations — Three and Nine Months Ended April 3, 2026 and March 28, 2025</w:t>
            </w:r>
          </w:p>
        </w:tc>
        <w:tc>
          <w:tcPr>
            <w:tcW w:w="680" w:type="dxa"/>
            <w:vAlign w:val="bottom"/>
            <w:gridSpan w:val="2"/>
            <w:shd w:val="clear" w:color="auto" w:fill="CCEEFF"/>
          </w:tcPr>
          <w:p>
            <w:pPr>
              <w:spacing w:after="0"/>
              <w:rPr>
                <w:sz w:val="15"/>
                <w:szCs w:val="15"/>
                <w:color w:val="auto"/>
              </w:rPr>
            </w:pPr>
          </w:p>
        </w:tc>
        <w:tc>
          <w:tcPr>
            <w:tcW w:w="120" w:type="dxa"/>
            <w:vAlign w:val="bottom"/>
            <w:gridSpan w:val="2"/>
            <w:shd w:val="clear" w:color="auto" w:fill="CCEEFF"/>
          </w:tcPr>
          <w:p>
            <w:pPr>
              <w:jc w:val="center"/>
              <w:ind w:right="40"/>
              <w:spacing w:after="0" w:line="175" w:lineRule="exact"/>
              <w:rPr>
                <w:sz w:val="20"/>
                <w:szCs w:val="20"/>
                <w:color w:val="auto"/>
              </w:rPr>
            </w:pPr>
            <w:r>
              <w:rPr>
                <w:rFonts w:ascii="Times New Roman" w:cs="Times New Roman" w:eastAsia="Times New Roman" w:hAnsi="Times New Roman"/>
                <w:sz w:val="16"/>
                <w:szCs w:val="16"/>
                <w:color w:val="3635D6"/>
                <w:w w:val="99"/>
              </w:rPr>
              <w:t>5</w:t>
            </w: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87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3635D6"/>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20" w:type="dxa"/>
            <w:vAlign w:val="bottom"/>
          </w:tcPr>
          <w:p>
            <w:pPr>
              <w:spacing w:after="0"/>
              <w:rPr>
                <w:sz w:val="14"/>
                <w:szCs w:val="14"/>
                <w:color w:val="auto"/>
              </w:rPr>
            </w:pPr>
          </w:p>
        </w:tc>
        <w:tc>
          <w:tcPr>
            <w:tcW w:w="8780" w:type="dxa"/>
            <w:vAlign w:val="bottom"/>
          </w:tcPr>
          <w:p>
            <w:pPr>
              <w:ind w:left="500"/>
              <w:spacing w:after="0" w:line="162" w:lineRule="exact"/>
              <w:rPr>
                <w:sz w:val="20"/>
                <w:szCs w:val="20"/>
                <w:color w:val="auto"/>
              </w:rPr>
            </w:pPr>
            <w:r>
              <w:rPr>
                <w:rFonts w:ascii="Times New Roman" w:cs="Times New Roman" w:eastAsia="Times New Roman" w:hAnsi="Times New Roman"/>
                <w:sz w:val="16"/>
                <w:szCs w:val="16"/>
                <w:color w:val="auto"/>
              </w:rPr>
              <w:t>Condensed Consolidated Statements of Comprehensive Income (Loss) — Three and Nine Months Ended April 3, 2026 and</w:t>
            </w:r>
          </w:p>
        </w:tc>
        <w:tc>
          <w:tcPr>
            <w:tcW w:w="680" w:type="dxa"/>
            <w:vAlign w:val="bottom"/>
            <w:gridSpan w:val="2"/>
            <w:vMerge w:val="restart"/>
          </w:tcPr>
          <w:p>
            <w:pPr>
              <w:spacing w:after="0"/>
              <w:rPr>
                <w:sz w:val="14"/>
                <w:szCs w:val="14"/>
                <w:color w:val="auto"/>
              </w:rPr>
            </w:pPr>
          </w:p>
        </w:tc>
        <w:tc>
          <w:tcPr>
            <w:tcW w:w="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6"/>
                <w:szCs w:val="16"/>
                <w:color w:val="3635D6"/>
                <w:w w:val="99"/>
              </w:rPr>
              <w:t>6</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8780" w:type="dxa"/>
            <w:vAlign w:val="bottom"/>
          </w:tcPr>
          <w:p>
            <w:pPr>
              <w:ind w:left="500"/>
              <w:spacing w:after="0" w:line="175" w:lineRule="exact"/>
              <w:rPr>
                <w:sz w:val="20"/>
                <w:szCs w:val="20"/>
                <w:color w:val="auto"/>
              </w:rPr>
            </w:pPr>
            <w:r>
              <w:rPr>
                <w:rFonts w:ascii="Times New Roman" w:cs="Times New Roman" w:eastAsia="Times New Roman" w:hAnsi="Times New Roman"/>
                <w:sz w:val="16"/>
                <w:szCs w:val="16"/>
                <w:color w:val="auto"/>
              </w:rPr>
              <w:t>March 28, 2025</w:t>
            </w:r>
          </w:p>
        </w:tc>
        <w:tc>
          <w:tcPr>
            <w:tcW w:w="68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rPr>
                <w:sz w:val="15"/>
                <w:szCs w:val="15"/>
                <w:color w:val="auto"/>
              </w:rPr>
            </w:pPr>
          </w:p>
        </w:tc>
        <w:tc>
          <w:tcPr>
            <w:tcW w:w="8780" w:type="dxa"/>
            <w:vAlign w:val="bottom"/>
            <w:shd w:val="clear" w:color="auto" w:fill="CCEEFF"/>
          </w:tcPr>
          <w:p>
            <w:pPr>
              <w:ind w:left="500"/>
              <w:spacing w:after="0" w:line="175" w:lineRule="exact"/>
              <w:rPr>
                <w:sz w:val="20"/>
                <w:szCs w:val="20"/>
                <w:color w:val="auto"/>
              </w:rPr>
            </w:pPr>
            <w:r>
              <w:rPr>
                <w:rFonts w:ascii="Times New Roman" w:cs="Times New Roman" w:eastAsia="Times New Roman" w:hAnsi="Times New Roman"/>
                <w:sz w:val="16"/>
                <w:szCs w:val="16"/>
                <w:color w:val="auto"/>
              </w:rPr>
              <w:t>Condensed Consolidated Statements of Cash Flows — Nine Months Ended April 3, 2026 and March 28, 2025</w:t>
            </w:r>
          </w:p>
        </w:tc>
        <w:tc>
          <w:tcPr>
            <w:tcW w:w="680" w:type="dxa"/>
            <w:vAlign w:val="bottom"/>
            <w:gridSpan w:val="2"/>
            <w:shd w:val="clear" w:color="auto" w:fill="CCEEFF"/>
          </w:tcPr>
          <w:p>
            <w:pPr>
              <w:spacing w:after="0"/>
              <w:rPr>
                <w:sz w:val="15"/>
                <w:szCs w:val="15"/>
                <w:color w:val="auto"/>
              </w:rPr>
            </w:pPr>
          </w:p>
        </w:tc>
        <w:tc>
          <w:tcPr>
            <w:tcW w:w="120" w:type="dxa"/>
            <w:vAlign w:val="bottom"/>
            <w:gridSpan w:val="2"/>
            <w:shd w:val="clear" w:color="auto" w:fill="CCEEFF"/>
          </w:tcPr>
          <w:p>
            <w:pPr>
              <w:jc w:val="center"/>
              <w:ind w:right="40"/>
              <w:spacing w:after="0" w:line="175" w:lineRule="exact"/>
              <w:rPr>
                <w:sz w:val="20"/>
                <w:szCs w:val="20"/>
                <w:color w:val="auto"/>
              </w:rPr>
            </w:pPr>
            <w:r>
              <w:rPr>
                <w:rFonts w:ascii="Times New Roman" w:cs="Times New Roman" w:eastAsia="Times New Roman" w:hAnsi="Times New Roman"/>
                <w:sz w:val="16"/>
                <w:szCs w:val="16"/>
                <w:color w:val="3635D6"/>
                <w:w w:val="99"/>
              </w:rPr>
              <w:t>7</w:t>
            </w: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87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3635D6"/>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20" w:type="dxa"/>
            <w:vAlign w:val="bottom"/>
          </w:tcPr>
          <w:p>
            <w:pPr>
              <w:spacing w:after="0"/>
              <w:rPr>
                <w:sz w:val="14"/>
                <w:szCs w:val="14"/>
                <w:color w:val="auto"/>
              </w:rPr>
            </w:pPr>
          </w:p>
        </w:tc>
        <w:tc>
          <w:tcPr>
            <w:tcW w:w="8780" w:type="dxa"/>
            <w:vAlign w:val="bottom"/>
          </w:tcPr>
          <w:p>
            <w:pPr>
              <w:ind w:left="500"/>
              <w:spacing w:after="0" w:line="162" w:lineRule="exact"/>
              <w:rPr>
                <w:sz w:val="20"/>
                <w:szCs w:val="20"/>
                <w:color w:val="auto"/>
              </w:rPr>
            </w:pPr>
            <w:r>
              <w:rPr>
                <w:rFonts w:ascii="Times New Roman" w:cs="Times New Roman" w:eastAsia="Times New Roman" w:hAnsi="Times New Roman"/>
                <w:sz w:val="16"/>
                <w:szCs w:val="16"/>
                <w:color w:val="auto"/>
              </w:rPr>
              <w:t>Condensed Consolidated Statements of Changes in Shareholders’ Equity — Three and Nine Months Ended April 3, 2026 and</w:t>
            </w:r>
          </w:p>
        </w:tc>
        <w:tc>
          <w:tcPr>
            <w:tcW w:w="680" w:type="dxa"/>
            <w:vAlign w:val="bottom"/>
            <w:gridSpan w:val="2"/>
            <w:vMerge w:val="restart"/>
          </w:tcPr>
          <w:p>
            <w:pPr>
              <w:spacing w:after="0"/>
              <w:rPr>
                <w:sz w:val="14"/>
                <w:szCs w:val="14"/>
                <w:color w:val="auto"/>
              </w:rPr>
            </w:pPr>
          </w:p>
        </w:tc>
        <w:tc>
          <w:tcPr>
            <w:tcW w:w="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6"/>
                <w:szCs w:val="16"/>
                <w:color w:val="3635D6"/>
                <w:w w:val="99"/>
              </w:rPr>
              <w:t>8</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rPr>
                <w:sz w:val="15"/>
                <w:szCs w:val="15"/>
                <w:color w:val="auto"/>
              </w:rPr>
            </w:pPr>
          </w:p>
        </w:tc>
        <w:tc>
          <w:tcPr>
            <w:tcW w:w="8780" w:type="dxa"/>
            <w:vAlign w:val="bottom"/>
          </w:tcPr>
          <w:p>
            <w:pPr>
              <w:ind w:left="500"/>
              <w:spacing w:after="0" w:line="175" w:lineRule="exact"/>
              <w:rPr>
                <w:sz w:val="20"/>
                <w:szCs w:val="20"/>
                <w:color w:val="auto"/>
              </w:rPr>
            </w:pPr>
            <w:r>
              <w:rPr>
                <w:rFonts w:ascii="Times New Roman" w:cs="Times New Roman" w:eastAsia="Times New Roman" w:hAnsi="Times New Roman"/>
                <w:sz w:val="16"/>
                <w:szCs w:val="16"/>
                <w:color w:val="auto"/>
              </w:rPr>
              <w:t>March 28, 2025</w:t>
            </w:r>
          </w:p>
        </w:tc>
        <w:tc>
          <w:tcPr>
            <w:tcW w:w="68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8780" w:type="dxa"/>
            <w:vAlign w:val="bottom"/>
            <w:tcBorders>
              <w:bottom w:val="single" w:sz="8" w:color="CCEEFF"/>
            </w:tcBorders>
            <w:shd w:val="clear" w:color="auto" w:fill="CCEEFF"/>
          </w:tcPr>
          <w:p>
            <w:pPr>
              <w:ind w:left="500"/>
              <w:spacing w:after="0" w:line="175" w:lineRule="exact"/>
              <w:rPr>
                <w:sz w:val="20"/>
                <w:szCs w:val="20"/>
                <w:color w:val="auto"/>
              </w:rPr>
            </w:pPr>
            <w:r>
              <w:rPr>
                <w:rFonts w:ascii="Times New Roman" w:cs="Times New Roman" w:eastAsia="Times New Roman" w:hAnsi="Times New Roman"/>
                <w:sz w:val="16"/>
                <w:szCs w:val="16"/>
                <w:color w:val="auto"/>
              </w:rPr>
              <w:t>Notes to Condensed Consolidated Financial Statements</w:t>
            </w:r>
          </w:p>
        </w:tc>
        <w:tc>
          <w:tcPr>
            <w:tcW w:w="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3635D6"/>
            </w:tcBorders>
            <w:gridSpan w:val="3"/>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3635D6"/>
                <w:w w:val="99"/>
              </w:rPr>
              <w:t>10</w:t>
            </w: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2.</w:t>
            </w:r>
          </w:p>
        </w:tc>
        <w:tc>
          <w:tcPr>
            <w:tcW w:w="8780" w:type="dxa"/>
            <w:vAlign w:val="bottom"/>
          </w:tcPr>
          <w:p>
            <w:pPr>
              <w:ind w:left="380"/>
              <w:spacing w:after="0" w:line="175" w:lineRule="exact"/>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Operations</w:t>
            </w:r>
          </w:p>
        </w:tc>
        <w:tc>
          <w:tcPr>
            <w:tcW w:w="800" w:type="dxa"/>
            <w:vAlign w:val="bottom"/>
            <w:gridSpan w:val="4"/>
          </w:tcPr>
          <w:p>
            <w:pPr>
              <w:jc w:val="center"/>
              <w:ind w:left="559"/>
              <w:spacing w:after="0" w:line="175" w:lineRule="exact"/>
              <w:rPr>
                <w:sz w:val="20"/>
                <w:szCs w:val="20"/>
                <w:color w:val="auto"/>
              </w:rPr>
            </w:pPr>
            <w:r>
              <w:rPr>
                <w:rFonts w:ascii="Times New Roman" w:cs="Times New Roman" w:eastAsia="Times New Roman" w:hAnsi="Times New Roman"/>
                <w:sz w:val="16"/>
                <w:szCs w:val="16"/>
                <w:color w:val="3635D6"/>
                <w:w w:val="99"/>
              </w:rPr>
              <w:t>36</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3.</w:t>
            </w:r>
          </w:p>
        </w:tc>
        <w:tc>
          <w:tcPr>
            <w:tcW w:w="8780" w:type="dxa"/>
            <w:vAlign w:val="bottom"/>
            <w:tcBorders>
              <w:bottom w:val="single" w:sz="8" w:color="CCEEFF"/>
            </w:tcBorders>
            <w:shd w:val="clear" w:color="auto" w:fill="CCEEFF"/>
          </w:tcPr>
          <w:p>
            <w:pPr>
              <w:ind w:left="380"/>
              <w:spacing w:after="0" w:line="175" w:lineRule="exact"/>
              <w:rPr>
                <w:sz w:val="20"/>
                <w:szCs w:val="20"/>
                <w:color w:val="auto"/>
              </w:rPr>
            </w:pPr>
            <w:r>
              <w:rPr>
                <w:rFonts w:ascii="Times New Roman" w:cs="Times New Roman" w:eastAsia="Times New Roman" w:hAnsi="Times New Roman"/>
                <w:sz w:val="16"/>
                <w:szCs w:val="16"/>
                <w:color w:val="auto"/>
              </w:rPr>
              <w:t>Quantitative and Qualitative Disclosures About Market Risk</w:t>
            </w:r>
          </w:p>
        </w:tc>
        <w:tc>
          <w:tcPr>
            <w:tcW w:w="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3635D6"/>
            </w:tcBorders>
            <w:gridSpan w:val="3"/>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3635D6"/>
                <w:w w:val="99"/>
              </w:rPr>
              <w:t>48</w:t>
            </w: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4.</w:t>
            </w:r>
          </w:p>
        </w:tc>
        <w:tc>
          <w:tcPr>
            <w:tcW w:w="8780" w:type="dxa"/>
            <w:vAlign w:val="bottom"/>
          </w:tcPr>
          <w:p>
            <w:pPr>
              <w:ind w:left="380"/>
              <w:spacing w:after="0" w:line="175" w:lineRule="exact"/>
              <w:rPr>
                <w:sz w:val="20"/>
                <w:szCs w:val="20"/>
                <w:color w:val="auto"/>
              </w:rPr>
            </w:pPr>
            <w:r>
              <w:rPr>
                <w:rFonts w:ascii="Times New Roman" w:cs="Times New Roman" w:eastAsia="Times New Roman" w:hAnsi="Times New Roman"/>
                <w:sz w:val="16"/>
                <w:szCs w:val="16"/>
                <w:color w:val="auto"/>
              </w:rPr>
              <w:t>Controls and Procedures</w:t>
            </w:r>
          </w:p>
        </w:tc>
        <w:tc>
          <w:tcPr>
            <w:tcW w:w="800" w:type="dxa"/>
            <w:vAlign w:val="bottom"/>
            <w:gridSpan w:val="4"/>
          </w:tcPr>
          <w:p>
            <w:pPr>
              <w:jc w:val="center"/>
              <w:ind w:left="559"/>
              <w:spacing w:after="0" w:line="175" w:lineRule="exact"/>
              <w:rPr>
                <w:sz w:val="20"/>
                <w:szCs w:val="20"/>
                <w:color w:val="auto"/>
              </w:rPr>
            </w:pPr>
            <w:r>
              <w:rPr>
                <w:rFonts w:ascii="Times New Roman" w:cs="Times New Roman" w:eastAsia="Times New Roman" w:hAnsi="Times New Roman"/>
                <w:sz w:val="16"/>
                <w:szCs w:val="16"/>
                <w:color w:val="3635D6"/>
                <w:w w:val="99"/>
              </w:rPr>
              <w:t>48</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8780" w:type="dxa"/>
            <w:vAlign w:val="bottom"/>
          </w:tcPr>
          <w:p>
            <w:pPr>
              <w:ind w:left="3360"/>
              <w:spacing w:after="0"/>
              <w:rPr>
                <w:sz w:val="20"/>
                <w:szCs w:val="20"/>
                <w:color w:val="auto"/>
              </w:rPr>
            </w:pPr>
            <w:r>
              <w:rPr>
                <w:rFonts w:ascii="Times New Roman" w:cs="Times New Roman" w:eastAsia="Times New Roman" w:hAnsi="Times New Roman"/>
                <w:sz w:val="16"/>
                <w:szCs w:val="16"/>
                <w:b w:val="1"/>
                <w:bCs w:val="1"/>
                <w:color w:val="auto"/>
              </w:rPr>
              <w:t>PART II. OTHER INFORMATION</w:t>
            </w:r>
          </w:p>
        </w:tc>
        <w:tc>
          <w:tcPr>
            <w:tcW w:w="640" w:type="dxa"/>
            <w:vAlign w:val="bottom"/>
          </w:tcPr>
          <w:p>
            <w:pPr>
              <w:spacing w:after="0"/>
              <w:rPr>
                <w:sz w:val="20"/>
                <w:szCs w:val="20"/>
                <w:color w:val="auto"/>
              </w:rPr>
            </w:pPr>
          </w:p>
        </w:tc>
        <w:tc>
          <w:tcPr>
            <w:tcW w:w="40" w:type="dxa"/>
            <w:vAlign w:val="bottom"/>
            <w:tcBorders>
              <w:top w:val="single" w:sz="8" w:color="3635D6"/>
            </w:tcBorders>
          </w:tcPr>
          <w:p>
            <w:pPr>
              <w:spacing w:after="0"/>
              <w:rPr>
                <w:sz w:val="20"/>
                <w:szCs w:val="20"/>
                <w:color w:val="auto"/>
              </w:rPr>
            </w:pPr>
          </w:p>
        </w:tc>
        <w:tc>
          <w:tcPr>
            <w:tcW w:w="80" w:type="dxa"/>
            <w:vAlign w:val="bottom"/>
            <w:tcBorders>
              <w:top w:val="single" w:sz="8" w:color="3635D6"/>
            </w:tcBorders>
          </w:tcPr>
          <w:p>
            <w:pPr>
              <w:spacing w:after="0"/>
              <w:rPr>
                <w:sz w:val="20"/>
                <w:szCs w:val="20"/>
                <w:color w:val="auto"/>
              </w:rPr>
            </w:pPr>
          </w:p>
        </w:tc>
        <w:tc>
          <w:tcPr>
            <w:tcW w:w="40" w:type="dxa"/>
            <w:vAlign w:val="bottom"/>
            <w:tcBorders>
              <w:top w:val="single" w:sz="8" w:color="3635D6"/>
            </w:tcBorders>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020" w:type="dxa"/>
            <w:vAlign w:val="bottom"/>
            <w:tcBorders>
              <w:bottom w:val="single" w:sz="8" w:color="CCEEFF"/>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Item 1.</w:t>
            </w:r>
          </w:p>
        </w:tc>
        <w:tc>
          <w:tcPr>
            <w:tcW w:w="8780" w:type="dxa"/>
            <w:vAlign w:val="bottom"/>
            <w:tcBorders>
              <w:bottom w:val="single" w:sz="8" w:color="CCEEFF"/>
            </w:tcBorders>
            <w:shd w:val="clear" w:color="auto" w:fill="CCEEFF"/>
          </w:tcPr>
          <w:p>
            <w:pPr>
              <w:ind w:left="380"/>
              <w:spacing w:after="0" w:line="178" w:lineRule="exact"/>
              <w:rPr>
                <w:sz w:val="20"/>
                <w:szCs w:val="20"/>
                <w:color w:val="auto"/>
              </w:rPr>
            </w:pPr>
            <w:r>
              <w:rPr>
                <w:rFonts w:ascii="Times New Roman" w:cs="Times New Roman" w:eastAsia="Times New Roman" w:hAnsi="Times New Roman"/>
                <w:sz w:val="16"/>
                <w:szCs w:val="16"/>
                <w:color w:val="auto"/>
              </w:rPr>
              <w:t>Legal Proceedings</w:t>
            </w:r>
          </w:p>
        </w:tc>
        <w:tc>
          <w:tcPr>
            <w:tcW w:w="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3635D6"/>
            </w:tcBorders>
            <w:gridSpan w:val="3"/>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3635D6"/>
                <w:w w:val="99"/>
              </w:rPr>
              <w:t>49</w:t>
            </w: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1A.</w:t>
            </w:r>
          </w:p>
        </w:tc>
        <w:tc>
          <w:tcPr>
            <w:tcW w:w="8780" w:type="dxa"/>
            <w:vAlign w:val="bottom"/>
          </w:tcPr>
          <w:p>
            <w:pPr>
              <w:ind w:left="380"/>
              <w:spacing w:after="0" w:line="175" w:lineRule="exact"/>
              <w:rPr>
                <w:sz w:val="20"/>
                <w:szCs w:val="20"/>
                <w:color w:val="auto"/>
              </w:rPr>
            </w:pPr>
            <w:r>
              <w:rPr>
                <w:rFonts w:ascii="Times New Roman" w:cs="Times New Roman" w:eastAsia="Times New Roman" w:hAnsi="Times New Roman"/>
                <w:sz w:val="16"/>
                <w:szCs w:val="16"/>
                <w:color w:val="auto"/>
              </w:rPr>
              <w:t>Risk Factors</w:t>
            </w:r>
          </w:p>
        </w:tc>
        <w:tc>
          <w:tcPr>
            <w:tcW w:w="800" w:type="dxa"/>
            <w:vAlign w:val="bottom"/>
            <w:gridSpan w:val="4"/>
          </w:tcPr>
          <w:p>
            <w:pPr>
              <w:jc w:val="center"/>
              <w:ind w:left="559"/>
              <w:spacing w:after="0" w:line="175" w:lineRule="exact"/>
              <w:rPr>
                <w:sz w:val="20"/>
                <w:szCs w:val="20"/>
                <w:color w:val="auto"/>
              </w:rPr>
            </w:pPr>
            <w:r>
              <w:rPr>
                <w:rFonts w:ascii="Times New Roman" w:cs="Times New Roman" w:eastAsia="Times New Roman" w:hAnsi="Times New Roman"/>
                <w:sz w:val="16"/>
                <w:szCs w:val="16"/>
                <w:color w:val="3635D6"/>
                <w:w w:val="99"/>
              </w:rPr>
              <w:t>49</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80" w:type="dxa"/>
            <w:vAlign w:val="bottom"/>
            <w:tcBorders>
              <w:top w:val="single" w:sz="8" w:color="3635D6"/>
            </w:tcBorders>
          </w:tcPr>
          <w:p>
            <w:pPr>
              <w:spacing w:after="0" w:line="20" w:lineRule="exact"/>
              <w:rPr>
                <w:sz w:val="1"/>
                <w:szCs w:val="1"/>
                <w:color w:val="auto"/>
              </w:rPr>
            </w:pPr>
          </w:p>
        </w:tc>
        <w:tc>
          <w:tcPr>
            <w:tcW w:w="40" w:type="dxa"/>
            <w:vAlign w:val="bottom"/>
            <w:tcBorders>
              <w:top w:val="single" w:sz="8" w:color="3635D6"/>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5.</w:t>
            </w:r>
          </w:p>
        </w:tc>
        <w:tc>
          <w:tcPr>
            <w:tcW w:w="8780" w:type="dxa"/>
            <w:vAlign w:val="bottom"/>
            <w:tcBorders>
              <w:bottom w:val="single" w:sz="8" w:color="CCEEFF"/>
            </w:tcBorders>
            <w:shd w:val="clear" w:color="auto" w:fill="CCEEFF"/>
          </w:tcPr>
          <w:p>
            <w:pPr>
              <w:ind w:left="380"/>
              <w:spacing w:after="0" w:line="175" w:lineRule="exact"/>
              <w:rPr>
                <w:sz w:val="20"/>
                <w:szCs w:val="20"/>
                <w:color w:val="auto"/>
              </w:rPr>
            </w:pPr>
            <w:r>
              <w:rPr>
                <w:rFonts w:ascii="Times New Roman" w:cs="Times New Roman" w:eastAsia="Times New Roman" w:hAnsi="Times New Roman"/>
                <w:sz w:val="16"/>
                <w:szCs w:val="16"/>
                <w:color w:val="auto"/>
              </w:rPr>
              <w:t>Other Information</w:t>
            </w:r>
          </w:p>
        </w:tc>
        <w:tc>
          <w:tcPr>
            <w:tcW w:w="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3635D6"/>
            </w:tcBorders>
            <w:gridSpan w:val="3"/>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3635D6"/>
                <w:w w:val="99"/>
              </w:rPr>
              <w:t>49</w:t>
            </w:r>
          </w:p>
        </w:tc>
        <w:tc>
          <w:tcPr>
            <w:tcW w:w="6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Item 6.</w:t>
            </w:r>
          </w:p>
        </w:tc>
        <w:tc>
          <w:tcPr>
            <w:tcW w:w="8780" w:type="dxa"/>
            <w:vAlign w:val="bottom"/>
          </w:tcPr>
          <w:p>
            <w:pPr>
              <w:ind w:left="380"/>
              <w:spacing w:after="0" w:line="175" w:lineRule="exact"/>
              <w:rPr>
                <w:sz w:val="20"/>
                <w:szCs w:val="20"/>
                <w:color w:val="auto"/>
              </w:rPr>
            </w:pPr>
            <w:r>
              <w:rPr>
                <w:rFonts w:ascii="Times New Roman" w:cs="Times New Roman" w:eastAsia="Times New Roman" w:hAnsi="Times New Roman"/>
                <w:sz w:val="16"/>
                <w:szCs w:val="16"/>
                <w:color w:val="auto"/>
              </w:rPr>
              <w:t>Exhibits</w:t>
            </w:r>
          </w:p>
        </w:tc>
        <w:tc>
          <w:tcPr>
            <w:tcW w:w="640" w:type="dxa"/>
            <w:vAlign w:val="bottom"/>
          </w:tcPr>
          <w:p>
            <w:pPr>
              <w:spacing w:after="0"/>
              <w:rPr>
                <w:sz w:val="15"/>
                <w:szCs w:val="15"/>
                <w:color w:val="auto"/>
              </w:rPr>
            </w:pPr>
          </w:p>
        </w:tc>
        <w:tc>
          <w:tcPr>
            <w:tcW w:w="160" w:type="dxa"/>
            <w:vAlign w:val="bottom"/>
            <w:tcBorders>
              <w:bottom w:val="single" w:sz="8" w:color="3635D6"/>
            </w:tcBorders>
            <w:gridSpan w:val="3"/>
          </w:tcPr>
          <w:p>
            <w:pPr>
              <w:jc w:val="center"/>
              <w:spacing w:after="0" w:line="175" w:lineRule="exact"/>
              <w:rPr>
                <w:sz w:val="20"/>
                <w:szCs w:val="20"/>
                <w:color w:val="auto"/>
              </w:rPr>
            </w:pPr>
            <w:r>
              <w:rPr>
                <w:rFonts w:ascii="Times New Roman" w:cs="Times New Roman" w:eastAsia="Times New Roman" w:hAnsi="Times New Roman"/>
                <w:sz w:val="16"/>
                <w:szCs w:val="16"/>
                <w:color w:val="3635D6"/>
                <w:w w:val="99"/>
              </w:rPr>
              <w:t>50</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Unless otherwise indicated, references herein to specific years and quarters are to our fiscal years and fiscal quarters, and references to financial information are on a condensed consolidated basis. As used herein, the terms “we,” “us,” “our,” the “Company,” and “Sandisk” refer to Sandisk Corporation and its subsidiaries, unless we state, or the context indicates, otherwise.</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Sandisk, a Delaware corporation, is the parent company of our NAND flash data storage business. Our principal executive offices are located at 951 Sandisk Drive, Milpitas, California, 95035. Our telephone number is (408) 801-1000.</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6" w:lineRule="exact"/>
        <w:rPr>
          <w:sz w:val="20"/>
          <w:szCs w:val="20"/>
          <w:color w:val="auto"/>
        </w:rPr>
      </w:pPr>
    </w:p>
    <w:p>
      <w:pPr>
        <w:ind w:firstLine="486"/>
        <w:spacing w:after="0" w:line="224" w:lineRule="auto"/>
        <w:rPr>
          <w:sz w:val="20"/>
          <w:szCs w:val="20"/>
          <w:color w:val="auto"/>
        </w:rPr>
      </w:pPr>
      <w:r>
        <w:rPr>
          <w:rFonts w:ascii="Times New Roman" w:cs="Times New Roman" w:eastAsia="Times New Roman" w:hAnsi="Times New Roman"/>
          <w:sz w:val="18"/>
          <w:szCs w:val="18"/>
          <w:i w:val="1"/>
          <w:iCs w:val="1"/>
          <w:color w:val="auto"/>
        </w:rPr>
        <w:t>This document contains forward-looking statements within the meaning of the federal securities laws. These forward-looking statements include but are not limited to statements regarding Sandisk Corporation’s (the “Company’s”) expectations related to operating as an independent company, its product and technology developments and all statements regarding the Company’s expected future position, results of operations, cash flows, capital expenditures, and statements containing the use of forward-looking words, such as “may,” “will,” “could,” “would,” “should,” “believe,” “anticipate,” “expect,” “estimate,” “continue,” “potential,” “plan,” “forecast,” “approximate,” “intend,” “target,” and the like, or the use of the future tense of these or other similar words. Statements contained herein concerning the Company’s expectations related to operating as an independent company, outlook or future economic performance, anticipated profitability, revenues, expenses, or other financial items, products or service line growth of the Company, and predicted market outcomes, together with other statements that are not historical facts, are forward-looking statements that are estimates reflecting the best judgment of the Company based upon currently available information. Statements concerning current conditions may also be forward-looking if they imply a continuation of current conditions.</w:t>
      </w:r>
    </w:p>
    <w:p>
      <w:pPr>
        <w:spacing w:after="0" w:line="66" w:lineRule="exact"/>
        <w:rPr>
          <w:sz w:val="20"/>
          <w:szCs w:val="20"/>
          <w:color w:val="auto"/>
        </w:rPr>
      </w:pPr>
    </w:p>
    <w:p>
      <w:pPr>
        <w:ind w:right="100" w:firstLine="486"/>
        <w:spacing w:after="0" w:line="232" w:lineRule="auto"/>
        <w:rPr>
          <w:sz w:val="20"/>
          <w:szCs w:val="20"/>
          <w:color w:val="auto"/>
        </w:rPr>
      </w:pPr>
      <w:r>
        <w:rPr>
          <w:rFonts w:ascii="Times New Roman" w:cs="Times New Roman" w:eastAsia="Times New Roman" w:hAnsi="Times New Roman"/>
          <w:sz w:val="18"/>
          <w:szCs w:val="18"/>
          <w:i w:val="1"/>
          <w:iCs w:val="1"/>
          <w:color w:val="auto"/>
        </w:rPr>
        <w:t>These forward-looking statements are based upon management’s current expectations and represent the most current information available to us as of the date of this Quarterly Report on Form 10-Q. The Company is subject to a number of known and unknown risks, uncertainties and other factors, many of which the Company is unable to predict or control, that may cause actual results, performance or plans to differ materially from those expressed or implied by these forward-looking statements. These risks and uncertainties include, but are not limited to:</w:t>
      </w:r>
    </w:p>
    <w:p>
      <w:pPr>
        <w:spacing w:after="0" w:line="6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adverse changes in global or regional conditions, including the impact of changes in tariff policies or other trade restrictions;</w:t>
      </w:r>
    </w:p>
    <w:p>
      <w:pPr>
        <w:spacing w:after="0" w:line="90" w:lineRule="exact"/>
        <w:rPr>
          <w:rFonts w:ascii="Times New Roman" w:cs="Times New Roman" w:eastAsia="Times New Roman" w:hAnsi="Times New Roman"/>
          <w:sz w:val="18"/>
          <w:szCs w:val="18"/>
          <w:i w:val="1"/>
          <w:iCs w:val="1"/>
          <w:color w:val="auto"/>
        </w:rPr>
      </w:pPr>
    </w:p>
    <w:p>
      <w:pPr>
        <w:ind w:left="660" w:right="20" w:hanging="328"/>
        <w:spacing w:after="0" w:line="253"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supply chain risks, including our dependence on a limited number of qualified suppliers, the availability and cost of materials and components for our products, and disruptions to our supply chain;</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execution, financial, and market risks associated with long-term agreements;</w:t>
      </w:r>
    </w:p>
    <w:p>
      <w:pPr>
        <w:spacing w:after="0" w:line="90"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damage or disruption to our operations or to those of our suppliers;</w:t>
      </w:r>
    </w:p>
    <w:p>
      <w:pPr>
        <w:spacing w:after="0" w:line="90"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product defects;</w:t>
      </w:r>
    </w:p>
    <w:p>
      <w:pPr>
        <w:spacing w:after="0" w:line="90"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reliance on strategic relationships with key partners, including Kioxia Corporation;</w:t>
      </w:r>
    </w:p>
    <w:p>
      <w:pPr>
        <w:spacing w:after="0" w:line="90"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development and introduction of new products or technologies and management of technology transitions;</w:t>
      </w:r>
    </w:p>
    <w:p>
      <w:pPr>
        <w:spacing w:after="0" w:line="90"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future responses to and effects of public health crises;</w:t>
      </w:r>
    </w:p>
    <w:p>
      <w:pPr>
        <w:spacing w:after="0" w:line="90"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loss of revenue from, or consolidation of, our key customers or increases in our customers’ credit risk;</w:t>
      </w:r>
    </w:p>
    <w:p>
      <w:pPr>
        <w:spacing w:after="0" w:line="90"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volatile demand and pricing trends and fluctuations in average selling prices;</w:t>
      </w:r>
    </w:p>
    <w:p>
      <w:pPr>
        <w:spacing w:after="0" w:line="90"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respond to market and other changes in our distribution and retail market;</w:t>
      </w:r>
    </w:p>
    <w:p>
      <w:pPr>
        <w:spacing w:after="0" w:line="90"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sales cyclicality and our ability to accurately forecast demand;</w:t>
      </w:r>
    </w:p>
    <w:p>
      <w:pPr>
        <w:spacing w:after="0" w:line="90"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level of debt;</w:t>
      </w:r>
    </w:p>
    <w:p>
      <w:pPr>
        <w:spacing w:after="0" w:line="90"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fluctuations in currency exchange rates;</w:t>
      </w:r>
    </w:p>
    <w:p>
      <w:pPr>
        <w:spacing w:after="0" w:line="90"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attract, retain, and develop highly skilled management and technical talent;</w:t>
      </w:r>
    </w:p>
    <w:p>
      <w:pPr>
        <w:spacing w:after="0" w:line="90" w:lineRule="exact"/>
        <w:rPr>
          <w:rFonts w:ascii="Times New Roman" w:cs="Times New Roman" w:eastAsia="Times New Roman" w:hAnsi="Times New Roman"/>
          <w:sz w:val="18"/>
          <w:szCs w:val="18"/>
          <w:i w:val="1"/>
          <w:iCs w:val="1"/>
          <w:color w:val="auto"/>
        </w:rPr>
      </w:pPr>
    </w:p>
    <w:p>
      <w:pPr>
        <w:ind w:left="660" w:right="820" w:hanging="328"/>
        <w:spacing w:after="0" w:line="253"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legal or regulatory compliance, changing legal and regulatory requirements, and the impact and outcome of legal proceedings;</w:t>
      </w:r>
    </w:p>
    <w:p>
      <w:pPr>
        <w:spacing w:after="0" w:line="4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compromise, damage or interruptions from cybersecurity incidents or other data or system security risks;</w:t>
      </w:r>
    </w:p>
    <w:p>
      <w:pPr>
        <w:spacing w:after="0" w:line="90"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reliance on intellectual property and other proprietary information;</w:t>
      </w:r>
    </w:p>
    <w:p>
      <w:pPr>
        <w:spacing w:after="0" w:line="90"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future material impairments in the value of our goodwill, intangible assets, and other long-lived assets;</w:t>
      </w:r>
    </w:p>
    <w:p>
      <w:pPr>
        <w:spacing w:after="0" w:line="90"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and challenges associated with the use of artificial intelligence; and</w:t>
      </w:r>
    </w:p>
    <w:p>
      <w:pPr>
        <w:spacing w:after="0" w:line="90" w:lineRule="exact"/>
        <w:rPr>
          <w:rFonts w:ascii="Times New Roman" w:cs="Times New Roman" w:eastAsia="Times New Roman" w:hAnsi="Times New Roman"/>
          <w:sz w:val="18"/>
          <w:szCs w:val="18"/>
          <w:i w:val="1"/>
          <w:iCs w:val="1"/>
          <w:color w:val="auto"/>
        </w:rPr>
      </w:pPr>
    </w:p>
    <w:p>
      <w:pPr>
        <w:ind w:left="660" w:right="20" w:hanging="328"/>
        <w:spacing w:after="0" w:line="237"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achieve some or all of the expected benefits of the spin-off (as defined below) and uncertainties regarding the impacts of the spin-off, including indemnification responsibilities, tax-related considerations, and our ability to effectively make the changes necessary to operate as an independent company.</w:t>
      </w:r>
    </w:p>
    <w:p>
      <w:pPr>
        <w:spacing w:after="0" w:line="62" w:lineRule="exact"/>
        <w:rPr>
          <w:sz w:val="20"/>
          <w:szCs w:val="20"/>
          <w:color w:val="auto"/>
        </w:rPr>
      </w:pPr>
    </w:p>
    <w:p>
      <w:pPr>
        <w:ind w:right="40" w:firstLine="486"/>
        <w:spacing w:after="0" w:line="226" w:lineRule="auto"/>
        <w:rPr>
          <w:sz w:val="20"/>
          <w:szCs w:val="20"/>
          <w:color w:val="auto"/>
        </w:rPr>
      </w:pPr>
      <w:r>
        <w:rPr>
          <w:rFonts w:ascii="Times New Roman" w:cs="Times New Roman" w:eastAsia="Times New Roman" w:hAnsi="Times New Roman"/>
          <w:sz w:val="18"/>
          <w:szCs w:val="18"/>
          <w:i w:val="1"/>
          <w:iCs w:val="1"/>
          <w:color w:val="auto"/>
        </w:rPr>
        <w:t>You are urged to carefully review our disclosures concerning these risks and the additional disclosures we make concerning material risks and other factors that may affect the outcome of our forward-looking statements and our business and operating results, including those made in our Annual Report on Form 10-K for the year ended June 27, 2025, as filed with the United States Securities and Exchange Commission on August 21, 2025 , and those made in this Quarterly Report on Form 10-Q for the quarter ended April 3, 2026. You are cautioned not to place undue reliance on the forward-looking statements included in this Quarterly Report on Form 10-Q, which speak only as of the date of this document. We do not intend, and undertake no obligation, to update or revise these forward-looking statements to reflect new information or events after the date of this document or to reflect the occurrence of unanticipated events, except as required by law.</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 FINANCIAL INFORMATION</w:t>
      </w:r>
    </w:p>
    <w:p>
      <w:pPr>
        <w:spacing w:after="0" w:line="10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 (unaudited)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April 3,</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June 27,</w:t>
            </w:r>
          </w:p>
        </w:tc>
      </w:tr>
      <w:tr>
        <w:trPr>
          <w:trHeight w:val="214"/>
        </w:trPr>
        <w:tc>
          <w:tcPr>
            <w:tcW w:w="4340" w:type="dxa"/>
            <w:vAlign w:val="bottom"/>
          </w:tcPr>
          <w:p>
            <w:pPr>
              <w:spacing w:after="0"/>
              <w:rPr>
                <w:sz w:val="18"/>
                <w:szCs w:val="18"/>
                <w:color w:val="auto"/>
              </w:rPr>
            </w:pPr>
          </w:p>
        </w:tc>
        <w:tc>
          <w:tcPr>
            <w:tcW w:w="42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4340" w:type="dxa"/>
            <w:vAlign w:val="bottom"/>
            <w:tcBorders>
              <w:top w:val="single" w:sz="8" w:color="CCEEFF"/>
            </w:tcBorders>
            <w:shd w:val="clear" w:color="auto" w:fill="CCEEFF"/>
          </w:tcPr>
          <w:p>
            <w:pPr>
              <w:spacing w:after="0"/>
              <w:rPr>
                <w:sz w:val="17"/>
                <w:szCs w:val="17"/>
                <w:color w:val="auto"/>
              </w:rPr>
            </w:pPr>
          </w:p>
        </w:tc>
        <w:tc>
          <w:tcPr>
            <w:tcW w:w="2860" w:type="dxa"/>
            <w:vAlign w:val="bottom"/>
            <w:tcBorders>
              <w:top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3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220" w:type="dxa"/>
            <w:vAlign w:val="bottom"/>
            <w:gridSpan w:val="2"/>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w:t>
            </w:r>
          </w:p>
        </w:tc>
      </w:tr>
      <w:tr>
        <w:trPr>
          <w:trHeight w:val="213"/>
        </w:trPr>
        <w:tc>
          <w:tcPr>
            <w:tcW w:w="4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w:t>
            </w:r>
          </w:p>
        </w:tc>
      </w:tr>
      <w:tr>
        <w:trPr>
          <w:trHeight w:val="21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8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w:t>
            </w:r>
          </w:p>
        </w:tc>
      </w:tr>
      <w:tr>
        <w:trPr>
          <w:trHeight w:val="213"/>
        </w:trPr>
        <w:tc>
          <w:tcPr>
            <w:tcW w:w="4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receivable</w:t>
            </w:r>
          </w:p>
        </w:tc>
        <w:tc>
          <w:tcPr>
            <w:tcW w:w="2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86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r>
      <w:tr>
        <w:trPr>
          <w:trHeight w:val="207"/>
        </w:trPr>
        <w:tc>
          <w:tcPr>
            <w:tcW w:w="4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2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5,086</w:t>
            </w: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receivable and investments in Flash Ventures</w:t>
            </w:r>
          </w:p>
        </w:tc>
        <w:tc>
          <w:tcPr>
            <w:tcW w:w="2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4,999</w:t>
            </w:r>
          </w:p>
        </w:tc>
      </w:tr>
      <w:tr>
        <w:trPr>
          <w:trHeight w:val="213"/>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receivable, non-current</w:t>
            </w:r>
          </w:p>
        </w:tc>
        <w:tc>
          <w:tcPr>
            <w:tcW w:w="28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3"/>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86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1,489</w:t>
            </w:r>
          </w:p>
        </w:tc>
      </w:tr>
      <w:tr>
        <w:trPr>
          <w:trHeight w:val="219"/>
        </w:trPr>
        <w:tc>
          <w:tcPr>
            <w:tcW w:w="4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28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17,075</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12,985</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60" w:type="dxa"/>
            <w:vAlign w:val="bottom"/>
          </w:tcPr>
          <w:p>
            <w:pPr>
              <w:spacing w:after="0"/>
              <w:rPr>
                <w:sz w:val="15"/>
                <w:szCs w:val="15"/>
                <w:color w:val="auto"/>
              </w:rPr>
            </w:pPr>
          </w:p>
        </w:tc>
        <w:tc>
          <w:tcPr>
            <w:tcW w:w="4160" w:type="dxa"/>
            <w:vAlign w:val="bottom"/>
            <w:gridSpan w:val="2"/>
          </w:tcPr>
          <w:p>
            <w:pPr>
              <w:jc w:val="right"/>
              <w:ind w:right="559"/>
              <w:spacing w:after="0" w:line="176"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4160" w:type="dxa"/>
            <w:vAlign w:val="bottom"/>
            <w:gridSpan w:val="2"/>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80" w:type="dxa"/>
            <w:vAlign w:val="bottom"/>
          </w:tcPr>
          <w:p>
            <w:pPr>
              <w:spacing w:after="0"/>
              <w:rPr>
                <w:sz w:val="18"/>
                <w:szCs w:val="18"/>
                <w:color w:val="auto"/>
              </w:rPr>
            </w:pPr>
          </w:p>
        </w:tc>
        <w:tc>
          <w:tcPr>
            <w:tcW w:w="78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to related parties</w:t>
            </w:r>
          </w:p>
        </w:tc>
        <w:tc>
          <w:tcPr>
            <w:tcW w:w="3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13"/>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Contract liabilities</w:t>
            </w:r>
          </w:p>
        </w:tc>
        <w:tc>
          <w:tcPr>
            <w:tcW w:w="3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3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13"/>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3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payable, current</w:t>
            </w:r>
          </w:p>
        </w:tc>
        <w:tc>
          <w:tcPr>
            <w:tcW w:w="3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3"/>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2"/>
        </w:trPr>
        <w:tc>
          <w:tcPr>
            <w:tcW w:w="38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3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payable, non-current</w:t>
            </w:r>
          </w:p>
        </w:tc>
        <w:tc>
          <w:tcPr>
            <w:tcW w:w="3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contract liabilities</w:t>
            </w:r>
          </w:p>
        </w:tc>
        <w:tc>
          <w:tcPr>
            <w:tcW w:w="3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3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3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3,769</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(Notes 10, 11, 14 and 15)</w:t>
            </w:r>
          </w:p>
        </w:tc>
        <w:tc>
          <w:tcPr>
            <w:tcW w:w="3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3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020" w:type="dxa"/>
            <w:vAlign w:val="bottom"/>
            <w:gridSpan w:val="3"/>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$0.01 par value; authorized — 450 shares; issued and outstanding — 148 shares and 146</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780" w:type="dxa"/>
            <w:vAlign w:val="bottom"/>
            <w:vMerge w:val="restart"/>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respectively</w:t>
            </w:r>
          </w:p>
        </w:tc>
        <w:tc>
          <w:tcPr>
            <w:tcW w:w="4160" w:type="dxa"/>
            <w:vAlign w:val="bottom"/>
            <w:gridSpan w:val="2"/>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11,289</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11,248</w:t>
            </w:r>
          </w:p>
        </w:tc>
        <w:tc>
          <w:tcPr>
            <w:tcW w:w="0" w:type="dxa"/>
            <w:vAlign w:val="bottom"/>
          </w:tcPr>
          <w:p>
            <w:pPr>
              <w:spacing w:after="0"/>
              <w:rPr>
                <w:sz w:val="1"/>
                <w:szCs w:val="1"/>
                <w:color w:val="auto"/>
              </w:rPr>
            </w:pPr>
          </w:p>
        </w:tc>
      </w:tr>
      <w:tr>
        <w:trPr>
          <w:trHeight w:val="213"/>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3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2,746</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34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07"/>
        </w:trPr>
        <w:tc>
          <w:tcPr>
            <w:tcW w:w="3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3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13,777</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9,216</w:t>
            </w:r>
          </w:p>
        </w:tc>
        <w:tc>
          <w:tcPr>
            <w:tcW w:w="0" w:type="dxa"/>
            <w:vAlign w:val="bottom"/>
          </w:tcPr>
          <w:p>
            <w:pPr>
              <w:spacing w:after="0"/>
              <w:rPr>
                <w:sz w:val="1"/>
                <w:szCs w:val="1"/>
                <w:color w:val="auto"/>
              </w:rPr>
            </w:pPr>
          </w:p>
        </w:tc>
      </w:tr>
      <w:tr>
        <w:trPr>
          <w:trHeight w:val="234"/>
        </w:trPr>
        <w:tc>
          <w:tcPr>
            <w:tcW w:w="38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33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17,075</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12,985</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2600" w:type="dxa"/>
            <w:vAlign w:val="bottom"/>
          </w:tcPr>
          <w:p>
            <w:pPr>
              <w:spacing w:after="0"/>
              <w:rPr>
                <w:sz w:val="24"/>
                <w:szCs w:val="24"/>
                <w:color w:val="auto"/>
              </w:rPr>
            </w:pPr>
          </w:p>
        </w:tc>
        <w:tc>
          <w:tcPr>
            <w:tcW w:w="2960" w:type="dxa"/>
            <w:vAlign w:val="bottom"/>
            <w:gridSpan w:val="5"/>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SANDISK CORPORATION</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160" w:type="dxa"/>
            <w:vAlign w:val="bottom"/>
            <w:gridSpan w:val="9"/>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260" w:type="dxa"/>
            <w:vAlign w:val="bottom"/>
            <w:gridSpan w:val="7"/>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(in millions, except per share amounts)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64"/>
        </w:trPr>
        <w:tc>
          <w:tcPr>
            <w:tcW w:w="12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6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24"/>
                <w:szCs w:val="24"/>
                <w:color w:val="auto"/>
              </w:rPr>
            </w:pPr>
          </w:p>
        </w:tc>
        <w:tc>
          <w:tcPr>
            <w:tcW w:w="266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12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ind w:left="160"/>
              <w:spacing w:after="0" w:line="169" w:lineRule="exact"/>
              <w:rPr>
                <w:sz w:val="20"/>
                <w:szCs w:val="20"/>
                <w:color w:val="auto"/>
              </w:rPr>
            </w:pPr>
            <w:r>
              <w:rPr>
                <w:rFonts w:ascii="Times New Roman" w:cs="Times New Roman" w:eastAsia="Times New Roman" w:hAnsi="Times New Roman"/>
                <w:sz w:val="18"/>
                <w:szCs w:val="18"/>
                <w:b w:val="1"/>
                <w:bCs w:val="1"/>
                <w:color w:val="auto"/>
              </w:rPr>
              <w:t>April 3,</w:t>
            </w: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ind w:left="120"/>
              <w:spacing w:after="0" w:line="169" w:lineRule="exact"/>
              <w:rPr>
                <w:sz w:val="20"/>
                <w:szCs w:val="20"/>
                <w:color w:val="auto"/>
              </w:rPr>
            </w:pPr>
            <w:r>
              <w:rPr>
                <w:rFonts w:ascii="Times New Roman" w:cs="Times New Roman" w:eastAsia="Times New Roman" w:hAnsi="Times New Roman"/>
                <w:sz w:val="18"/>
                <w:szCs w:val="18"/>
                <w:b w:val="1"/>
                <w:bCs w:val="1"/>
                <w:color w:val="auto"/>
              </w:rPr>
              <w:t>April 3,</w:t>
            </w: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r>
      <w:tr>
        <w:trPr>
          <w:trHeight w:val="241"/>
        </w:trPr>
        <w:tc>
          <w:tcPr>
            <w:tcW w:w="1280" w:type="dxa"/>
            <w:vAlign w:val="bottom"/>
            <w:tcBorders>
              <w:bottom w:val="single" w:sz="8" w:color="CCEEFF"/>
            </w:tcBorders>
          </w:tcPr>
          <w:p>
            <w:pPr>
              <w:spacing w:after="0"/>
              <w:rPr>
                <w:sz w:val="20"/>
                <w:szCs w:val="20"/>
                <w:color w:val="auto"/>
              </w:rPr>
            </w:pPr>
          </w:p>
        </w:tc>
        <w:tc>
          <w:tcPr>
            <w:tcW w:w="260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w:t>
            </w:r>
          </w:p>
        </w:tc>
      </w:tr>
      <w:tr>
        <w:trPr>
          <w:trHeight w:val="230"/>
        </w:trPr>
        <w:tc>
          <w:tcPr>
            <w:tcW w:w="3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w:t>
            </w:r>
          </w:p>
        </w:tc>
      </w:tr>
      <w:tr>
        <w:trPr>
          <w:trHeight w:val="223"/>
        </w:trPr>
        <w:tc>
          <w:tcPr>
            <w:tcW w:w="3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r>
      <w:tr>
        <w:trPr>
          <w:trHeight w:val="210"/>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3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29"/>
        </w:trPr>
        <w:tc>
          <w:tcPr>
            <w:tcW w:w="3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30"/>
        </w:trPr>
        <w:tc>
          <w:tcPr>
            <w:tcW w:w="3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r>
      <w:tr>
        <w:trPr>
          <w:trHeight w:val="229"/>
        </w:trPr>
        <w:tc>
          <w:tcPr>
            <w:tcW w:w="3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 separation costs</w:t>
            </w: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3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Employee termination and other</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3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loss on business divestiture</w:t>
            </w: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38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w:t>
            </w:r>
          </w:p>
        </w:tc>
      </w:tr>
      <w:tr>
        <w:trPr>
          <w:trHeight w:val="223"/>
        </w:trPr>
        <w:tc>
          <w:tcPr>
            <w:tcW w:w="3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r>
      <w:tr>
        <w:trPr>
          <w:trHeight w:val="22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and other income (expense):</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3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3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3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38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interest and other income (expense), net</w:t>
            </w:r>
          </w:p>
        </w:tc>
        <w:tc>
          <w:tcPr>
            <w:tcW w:w="1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taxes</w:t>
            </w: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r>
      <w:tr>
        <w:trPr>
          <w:trHeight w:val="230"/>
        </w:trPr>
        <w:tc>
          <w:tcPr>
            <w:tcW w:w="3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48"/>
        </w:trPr>
        <w:tc>
          <w:tcPr>
            <w:tcW w:w="38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1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r>
      <w:tr>
        <w:trPr>
          <w:trHeight w:val="20"/>
        </w:trPr>
        <w:tc>
          <w:tcPr>
            <w:tcW w:w="388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12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3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5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r>
      <w:tr>
        <w:trPr>
          <w:trHeight w:val="230"/>
        </w:trPr>
        <w:tc>
          <w:tcPr>
            <w:tcW w:w="3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5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r>
      <w:tr>
        <w:trPr>
          <w:trHeight w:val="256"/>
        </w:trPr>
        <w:tc>
          <w:tcPr>
            <w:tcW w:w="3880" w:type="dxa"/>
            <w:vAlign w:val="bottom"/>
            <w:gridSpan w:val="2"/>
          </w:tcPr>
          <w:p>
            <w:pPr>
              <w:spacing w:after="0"/>
              <w:rPr>
                <w:sz w:val="22"/>
                <w:szCs w:val="22"/>
                <w:color w:val="auto"/>
              </w:rPr>
            </w:pPr>
          </w:p>
        </w:tc>
        <w:tc>
          <w:tcPr>
            <w:tcW w:w="1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3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3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bl>
    <w:p>
      <w:pPr>
        <w:spacing w:after="0" w:line="1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2980" w:type="dxa"/>
            <w:vAlign w:val="bottom"/>
          </w:tcPr>
          <w:p>
            <w:pPr>
              <w:spacing w:after="0"/>
              <w:rPr>
                <w:sz w:val="24"/>
                <w:szCs w:val="24"/>
                <w:color w:val="auto"/>
              </w:rPr>
            </w:pPr>
          </w:p>
        </w:tc>
        <w:tc>
          <w:tcPr>
            <w:tcW w:w="25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SANDISK CORPORATION</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520" w:type="dxa"/>
            <w:vAlign w:val="bottom"/>
            <w:gridSpan w:val="11"/>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 (LOSS)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5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5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64"/>
        </w:trPr>
        <w:tc>
          <w:tcPr>
            <w:tcW w:w="12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4"/>
                <w:szCs w:val="24"/>
                <w:color w:val="auto"/>
              </w:rPr>
            </w:pPr>
          </w:p>
        </w:tc>
        <w:tc>
          <w:tcPr>
            <w:tcW w:w="27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12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ind w:left="160"/>
              <w:spacing w:after="0" w:line="169" w:lineRule="exact"/>
              <w:rPr>
                <w:sz w:val="20"/>
                <w:szCs w:val="20"/>
                <w:color w:val="auto"/>
              </w:rPr>
            </w:pPr>
            <w:r>
              <w:rPr>
                <w:rFonts w:ascii="Times New Roman" w:cs="Times New Roman" w:eastAsia="Times New Roman" w:hAnsi="Times New Roman"/>
                <w:sz w:val="18"/>
                <w:szCs w:val="18"/>
                <w:b w:val="1"/>
                <w:bCs w:val="1"/>
                <w:color w:val="auto"/>
              </w:rPr>
              <w:t>April 3,</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ind w:left="160"/>
              <w:spacing w:after="0" w:line="169" w:lineRule="exact"/>
              <w:rPr>
                <w:sz w:val="20"/>
                <w:szCs w:val="20"/>
                <w:color w:val="auto"/>
              </w:rPr>
            </w:pPr>
            <w:r>
              <w:rPr>
                <w:rFonts w:ascii="Times New Roman" w:cs="Times New Roman" w:eastAsia="Times New Roman" w:hAnsi="Times New Roman"/>
                <w:sz w:val="18"/>
                <w:szCs w:val="18"/>
                <w:b w:val="1"/>
                <w:bCs w:val="1"/>
                <w:color w:val="auto"/>
              </w:rPr>
              <w:t>April 3,</w:t>
            </w: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r>
      <w:tr>
        <w:trPr>
          <w:trHeight w:val="241"/>
        </w:trPr>
        <w:tc>
          <w:tcPr>
            <w:tcW w:w="1280" w:type="dxa"/>
            <w:vAlign w:val="bottom"/>
            <w:tcBorders>
              <w:bottom w:val="single" w:sz="8" w:color="CCEEFF"/>
            </w:tcBorders>
          </w:tcPr>
          <w:p>
            <w:pPr>
              <w:spacing w:after="0"/>
              <w:rPr>
                <w:sz w:val="20"/>
                <w:szCs w:val="20"/>
                <w:color w:val="auto"/>
              </w:rPr>
            </w:pPr>
          </w:p>
        </w:tc>
        <w:tc>
          <w:tcPr>
            <w:tcW w:w="298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r>
      <w:tr>
        <w:trPr>
          <w:trHeight w:val="230"/>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4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Net unrealized gain on derivative contracts</w:t>
            </w:r>
          </w:p>
        </w:tc>
        <w:tc>
          <w:tcPr>
            <w:tcW w:w="9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3"/>
        </w:trPr>
        <w:tc>
          <w:tcPr>
            <w:tcW w:w="4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comprehensive income (loss), before tax</w:t>
            </w: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176"/>
        </w:trPr>
        <w:tc>
          <w:tcPr>
            <w:tcW w:w="550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tax benefit (expense) related to items of other comprehensive</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4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tax</w:t>
            </w:r>
          </w:p>
        </w:tc>
        <w:tc>
          <w:tcPr>
            <w:tcW w:w="9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9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w:t>
            </w:r>
          </w:p>
        </w:tc>
      </w:tr>
      <w:tr>
        <w:trPr>
          <w:trHeight w:val="21"/>
        </w:trPr>
        <w:tc>
          <w:tcPr>
            <w:tcW w:w="12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2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0139"/>
          </w:cols>
          <w:pgMar w:left="320" w:top="121" w:right="1440" w:bottom="1440" w:gutter="0" w:footer="0" w:header="0"/>
        </w:sectPr>
      </w:pPr>
    </w:p>
    <w:bookmarkStart w:id="7" w:name="page8"/>
    <w:bookmarkEnd w:id="7"/>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p>
        </w:tc>
        <w:tc>
          <w:tcPr>
            <w:tcW w:w="346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580" w:type="dxa"/>
            <w:vAlign w:val="bottom"/>
            <w:tcBorders>
              <w:bottom w:val="single" w:sz="8" w:color="auto"/>
            </w:tcBorders>
          </w:tcPr>
          <w:p>
            <w:pPr>
              <w:spacing w:after="0"/>
              <w:rPr>
                <w:sz w:val="20"/>
                <w:szCs w:val="20"/>
                <w:color w:val="auto"/>
              </w:rPr>
            </w:pPr>
          </w:p>
        </w:tc>
      </w:tr>
      <w:tr>
        <w:trPr>
          <w:trHeight w:val="169"/>
        </w:trPr>
        <w:tc>
          <w:tcPr>
            <w:tcW w:w="7060" w:type="dxa"/>
            <w:vAlign w:val="bottom"/>
          </w:tcPr>
          <w:p>
            <w:pPr>
              <w:spacing w:after="0"/>
              <w:rPr>
                <w:sz w:val="14"/>
                <w:szCs w:val="14"/>
                <w:color w:val="auto"/>
              </w:rPr>
            </w:pPr>
          </w:p>
        </w:tc>
        <w:tc>
          <w:tcPr>
            <w:tcW w:w="13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April 3,</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580" w:type="dxa"/>
            <w:vAlign w:val="bottom"/>
          </w:tcPr>
          <w:p>
            <w:pPr>
              <w:spacing w:after="0"/>
              <w:rPr>
                <w:sz w:val="14"/>
                <w:szCs w:val="14"/>
                <w:color w:val="auto"/>
              </w:rPr>
            </w:pPr>
          </w:p>
        </w:tc>
      </w:tr>
      <w:tr>
        <w:trPr>
          <w:trHeight w:val="241"/>
        </w:trPr>
        <w:tc>
          <w:tcPr>
            <w:tcW w:w="70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20"/>
                <w:szCs w:val="20"/>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34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100" w:type="dxa"/>
            <w:vAlign w:val="bottom"/>
          </w:tcPr>
          <w:p>
            <w:pPr>
              <w:spacing w:after="0"/>
              <w:rPr>
                <w:sz w:val="19"/>
                <w:szCs w:val="19"/>
                <w:color w:val="auto"/>
              </w:rPr>
            </w:pPr>
          </w:p>
        </w:tc>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(1,618)</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operations:</w:t>
            </w:r>
          </w:p>
        </w:tc>
        <w:tc>
          <w:tcPr>
            <w:tcW w:w="1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0"/>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13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r>
      <w:tr>
        <w:trPr>
          <w:trHeight w:val="229"/>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1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loss on disposal of assets</w:t>
            </w:r>
          </w:p>
        </w:tc>
        <w:tc>
          <w:tcPr>
            <w:tcW w:w="1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of cost method investments</w:t>
            </w:r>
          </w:p>
        </w:tc>
        <w:tc>
          <w:tcPr>
            <w:tcW w:w="1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1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loss on business divestiture</w:t>
            </w:r>
          </w:p>
        </w:tc>
        <w:tc>
          <w:tcPr>
            <w:tcW w:w="1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debt issuance costs and discounts</w:t>
            </w:r>
          </w:p>
        </w:tc>
        <w:tc>
          <w:tcPr>
            <w:tcW w:w="1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loss in investees, net of dividends received</w:t>
            </w:r>
          </w:p>
        </w:tc>
        <w:tc>
          <w:tcPr>
            <w:tcW w:w="1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sale of investments</w:t>
            </w:r>
          </w:p>
        </w:tc>
        <w:tc>
          <w:tcPr>
            <w:tcW w:w="1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non-cash operating activities, net</w:t>
            </w:r>
          </w:p>
        </w:tc>
        <w:tc>
          <w:tcPr>
            <w:tcW w:w="1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Settlement of accrued interest on Notes due to Western Digital Corporation</w:t>
            </w:r>
          </w:p>
        </w:tc>
        <w:tc>
          <w:tcPr>
            <w:tcW w:w="13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w:t>
            </w:r>
          </w:p>
        </w:tc>
        <w:tc>
          <w:tcPr>
            <w:tcW w:w="1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1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30"/>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to related parties</w:t>
            </w:r>
          </w:p>
        </w:tc>
        <w:tc>
          <w:tcPr>
            <w:tcW w:w="1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 liabilities</w:t>
            </w:r>
          </w:p>
        </w:tc>
        <w:tc>
          <w:tcPr>
            <w:tcW w:w="1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1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taxes payable</w:t>
            </w:r>
          </w:p>
        </w:tc>
        <w:tc>
          <w:tcPr>
            <w:tcW w:w="1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compensation</w:t>
            </w:r>
          </w:p>
        </w:tc>
        <w:tc>
          <w:tcPr>
            <w:tcW w:w="1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 and liabilities, net</w:t>
            </w:r>
          </w:p>
        </w:tc>
        <w:tc>
          <w:tcPr>
            <w:tcW w:w="13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3"/>
        </w:trPr>
        <w:tc>
          <w:tcPr>
            <w:tcW w:w="7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30"/>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dispositions of business</w:t>
            </w:r>
          </w:p>
        </w:tc>
        <w:tc>
          <w:tcPr>
            <w:tcW w:w="1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30"/>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receivable issuances to Flash Ventures</w:t>
            </w:r>
          </w:p>
        </w:tc>
        <w:tc>
          <w:tcPr>
            <w:tcW w:w="1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30"/>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Notes receivable proceeds from Flash Ventures</w:t>
            </w:r>
          </w:p>
        </w:tc>
        <w:tc>
          <w:tcPr>
            <w:tcW w:w="1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2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Distributions from Flash Ventures</w:t>
            </w:r>
          </w:p>
        </w:tc>
        <w:tc>
          <w:tcPr>
            <w:tcW w:w="13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investments and other, net</w:t>
            </w:r>
          </w:p>
        </w:tc>
        <w:tc>
          <w:tcPr>
            <w:tcW w:w="13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1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30"/>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stock under employee stock plans</w:t>
            </w:r>
          </w:p>
        </w:tc>
        <w:tc>
          <w:tcPr>
            <w:tcW w:w="1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Taxes paid on vested stock awards under employee stock plans</w:t>
            </w:r>
          </w:p>
        </w:tc>
        <w:tc>
          <w:tcPr>
            <w:tcW w:w="1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debt</w:t>
            </w:r>
          </w:p>
        </w:tc>
        <w:tc>
          <w:tcPr>
            <w:tcW w:w="13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r>
      <w:tr>
        <w:trPr>
          <w:trHeight w:val="230"/>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Repayment of debt</w:t>
            </w:r>
          </w:p>
        </w:tc>
        <w:tc>
          <w:tcPr>
            <w:tcW w:w="1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issuance costs</w:t>
            </w:r>
          </w:p>
        </w:tc>
        <w:tc>
          <w:tcPr>
            <w:tcW w:w="13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borrowings on Notes due to Western Digital Corporation</w:t>
            </w:r>
          </w:p>
        </w:tc>
        <w:tc>
          <w:tcPr>
            <w:tcW w:w="13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principal repayments on Notes due from Western Digital Corporation</w:t>
            </w:r>
          </w:p>
        </w:tc>
        <w:tc>
          <w:tcPr>
            <w:tcW w:w="13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Repayments of principal on Notes due to Western Digital Corporation</w:t>
            </w:r>
          </w:p>
        </w:tc>
        <w:tc>
          <w:tcPr>
            <w:tcW w:w="13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Transfers to Western Digital Corporation</w:t>
            </w:r>
          </w:p>
        </w:tc>
        <w:tc>
          <w:tcPr>
            <w:tcW w:w="13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(1,887)</w:t>
            </w:r>
          </w:p>
        </w:tc>
      </w:tr>
      <w:tr>
        <w:trPr>
          <w:trHeight w:val="223"/>
        </w:trPr>
        <w:tc>
          <w:tcPr>
            <w:tcW w:w="70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34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340" w:type="dxa"/>
            <w:vAlign w:val="bottom"/>
            <w:tcBorders>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34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for interest</w:t>
            </w:r>
          </w:p>
        </w:tc>
        <w:tc>
          <w:tcPr>
            <w:tcW w:w="1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transfers of:</w:t>
            </w:r>
          </w:p>
        </w:tc>
        <w:tc>
          <w:tcPr>
            <w:tcW w:w="1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due to (from) Western Digital Corporation</w:t>
            </w:r>
          </w:p>
        </w:tc>
        <w:tc>
          <w:tcPr>
            <w:tcW w:w="13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30"/>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 and liabilities, net, from Western Digital Corporation</w:t>
            </w:r>
          </w:p>
        </w:tc>
        <w:tc>
          <w:tcPr>
            <w:tcW w:w="13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Contribution of equity interest in Unis Venture from Western Digital Corporation</w:t>
            </w:r>
          </w:p>
        </w:tc>
        <w:tc>
          <w:tcPr>
            <w:tcW w:w="13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from Western Digital Corporation</w:t>
            </w:r>
          </w:p>
        </w:tc>
        <w:tc>
          <w:tcPr>
            <w:tcW w:w="13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balances to Western Digital Corporation</w:t>
            </w:r>
          </w:p>
        </w:tc>
        <w:tc>
          <w:tcPr>
            <w:tcW w:w="13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indemnification liability to Western Digital Corporation</w:t>
            </w:r>
          </w:p>
        </w:tc>
        <w:tc>
          <w:tcPr>
            <w:tcW w:w="13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bl>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908" w:orient="portrait"/>
          <w:cols w:equalWidth="0" w:num="1">
            <w:col w:w="11100"/>
          </w:cols>
          <w:pgMar w:left="400" w:top="158"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ectPr>
          <w:pgSz w:w="11900" w:h="16908" w:orient="portrait"/>
          <w:cols w:equalWidth="0" w:num="1">
            <w:col w:w="11100"/>
          </w:cols>
          <w:pgMar w:left="400" w:top="158" w:right="399" w:bottom="0" w:gutter="0" w:footer="0" w:header="0"/>
          <w:type w:val="continuous"/>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170180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960" w:type="dxa"/>
            <w:vAlign w:val="bottom"/>
          </w:tcPr>
          <w:p>
            <w:pPr>
              <w:spacing w:after="0"/>
              <w:rPr>
                <w:sz w:val="18"/>
                <w:szCs w:val="18"/>
                <w:color w:val="auto"/>
              </w:rPr>
            </w:pPr>
          </w:p>
        </w:tc>
        <w:tc>
          <w:tcPr>
            <w:tcW w:w="220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 Paid in</w:t>
            </w:r>
          </w:p>
        </w:tc>
        <w:tc>
          <w:tcPr>
            <w:tcW w:w="1460" w:type="dxa"/>
            <w:vAlign w:val="bottom"/>
            <w:gridSpan w:val="3"/>
          </w:tcPr>
          <w:p>
            <w:pPr>
              <w:ind w:left="40"/>
              <w:spacing w:after="0" w:line="148" w:lineRule="exact"/>
              <w:rPr>
                <w:sz w:val="20"/>
                <w:szCs w:val="20"/>
                <w:color w:val="auto"/>
              </w:rPr>
            </w:pPr>
            <w:r>
              <w:rPr>
                <w:rFonts w:ascii="Times New Roman" w:cs="Times New Roman" w:eastAsia="Times New Roman" w:hAnsi="Times New Roman"/>
                <w:sz w:val="16"/>
                <w:szCs w:val="16"/>
                <w:b w:val="1"/>
                <w:bCs w:val="1"/>
                <w:color w:val="auto"/>
              </w:rPr>
              <w:t>Retained Earnings</w:t>
            </w:r>
          </w:p>
        </w:tc>
        <w:tc>
          <w:tcPr>
            <w:tcW w:w="1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4"/>
                <w:szCs w:val="14"/>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6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9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3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27, 2025</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9,216</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stock plans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unrealized gain on derivative contracts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2"/>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October 3, 2025</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9,381</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stock plans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unrealized gain on derivative contracts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2"/>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2, 2026</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10,213</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3,615</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3,615</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stock plans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unrealized gain on derivative contracts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37"/>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April 3, 2026</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13,777</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900" w:type="dxa"/>
            <w:vAlign w:val="bottom"/>
          </w:tcPr>
          <w:p>
            <w:pPr>
              <w:spacing w:after="0"/>
              <w:rPr>
                <w:sz w:val="18"/>
                <w:szCs w:val="18"/>
                <w:color w:val="auto"/>
              </w:rPr>
            </w:pPr>
          </w:p>
        </w:tc>
        <w:tc>
          <w:tcPr>
            <w:tcW w:w="182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2"/>
                <w:szCs w:val="12"/>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520" w:type="dxa"/>
            <w:vAlign w:val="bottom"/>
            <w:gridSpan w:val="3"/>
          </w:tcPr>
          <w:p>
            <w:pPr>
              <w:ind w:left="40"/>
              <w:spacing w:after="0" w:line="14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2"/>
                <w:szCs w:val="12"/>
                <w:color w:val="auto"/>
              </w:rPr>
            </w:pPr>
          </w:p>
        </w:tc>
        <w:tc>
          <w:tcPr>
            <w:tcW w:w="138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6"/>
                <w:szCs w:val="16"/>
                <w:b w:val="1"/>
                <w:bCs w:val="1"/>
                <w:color w:val="auto"/>
              </w:rPr>
              <w:t>Net Investment</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4"/>
                <w:szCs w:val="14"/>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4"/>
                <w:szCs w:val="14"/>
                <w:color w:val="auto"/>
              </w:rPr>
            </w:pPr>
          </w:p>
        </w:tc>
        <w:tc>
          <w:tcPr>
            <w:tcW w:w="9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Paid in</w:t>
            </w: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from Western</w:t>
            </w:r>
          </w:p>
        </w:tc>
        <w:tc>
          <w:tcPr>
            <w:tcW w:w="22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9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8"/>
                <w:szCs w:val="18"/>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Digital Corporation</w:t>
            </w:r>
          </w:p>
        </w:tc>
        <w:tc>
          <w:tcPr>
            <w:tcW w:w="2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28, 2024</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11,082</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unrealized gain on derivative contracts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transfer from Western Digital</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60" w:type="dxa"/>
            <w:vAlign w:val="bottom"/>
            <w:gridSpan w:val="2"/>
            <w:vMerge w:val="restart"/>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Corporation</w:t>
            </w:r>
          </w:p>
        </w:tc>
        <w:tc>
          <w:tcPr>
            <w:tcW w:w="7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27, 2024</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12,126</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unrealized loss on derivative contracts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transfer from Western Digital</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60" w:type="dxa"/>
            <w:vAlign w:val="bottom"/>
            <w:gridSpan w:val="2"/>
            <w:vMerge w:val="restart"/>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Corporation</w:t>
            </w:r>
          </w:p>
        </w:tc>
        <w:tc>
          <w:tcPr>
            <w:tcW w:w="7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27, 2024</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12,001</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(1,761)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unrealized gain on derivative contracts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stock plans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65"/>
        </w:trPr>
        <w:tc>
          <w:tcPr>
            <w:tcW w:w="29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transfer from Western Digital</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Corporation</w:t>
            </w:r>
          </w:p>
        </w:tc>
        <w:tc>
          <w:tcPr>
            <w:tcW w:w="7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and</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reclassification of net transfers from</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(11,215)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Western Digital Corporation</w:t>
            </w: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28, 2025</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(1,761)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9,161</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tab/>
        <w:t>Organization and Basis of Presentation</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Company</w:t>
      </w:r>
    </w:p>
    <w:p>
      <w:pPr>
        <w:spacing w:after="0" w:line="121"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Sandisk Corporation (“Sandisk” or the “Company”) is a leading developer, manufacturer and provider of data storage devices and solutions based on NAND flash technology. With a differentiated innovation engine driving advancements in storage and semiconductor technologies, Sandisk’s broad and ever-expanding portfolio delivers powerful flash storage solutions for artificial intelligence (“AI”) workloads in datacenters, edge devices, and consumer applications. Sandisk’s technologies enable everyone from students, gamers, and home offices to the largest enterprises and public clouds to produce, analyze, and store data. The Company’s solutions include a broad range of solid-state drives, embedded products, removable cards, universal serial bus drives, and wafers and components. The Company’s broad portfolio of technology and products addresses multiple end markets of “Datacenter” (formerly referred to as “Cloud”), “Edge” (formerly referred to as “Client”), and “Consumer.” The Company operates primarily in the United States (“U.S.”) and also internationally, with a significant concentration in the Asia Pacific region.</w:t>
      </w:r>
    </w:p>
    <w:p>
      <w:pPr>
        <w:spacing w:after="0" w:line="84"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On October 30, 2023, Western Digital Corporation (“WDC”) announced that its board of directors (the “WDC Board of Directors”) authorized WDC management to pursue a plan to separate the Company into an independent public company (the “separation” or the “spin-off”). The separation received final approval by the WDC Board of Directors and was completed on February 21, 2025. Prior to February 21, 2025, the Company was wholly owned by WDC.</w:t>
      </w:r>
    </w:p>
    <w:p>
      <w:pPr>
        <w:spacing w:after="0" w:line="72"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On February 21, 2025, WDC executed the spin-off of the Company through WDC’s pro rata distribution of 116,035,464, or 80.1%, of the Company’s outstanding shares of common stock to holders of WDC’s common stock. Each WDC stockholder received one-third (1/3) of one share of the Company’s common stock for each share of WDC’s common stock held by such WDC stockholder as of February 12, 2025, the record date of the distribution. Upon completion of the separation, WDC owned 28,827,787, or 19.9%, of the outstanding shares of the Company’s common stock. Following the distribution, the Company became an independent publicly listed company, and on February 24, 2025, the Company began trading as an independent, publicly traded company under the stock symbol “SNDK” on Nasdaq.</w:t>
      </w:r>
    </w:p>
    <w:p>
      <w:pPr>
        <w:spacing w:after="0" w:line="7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In connection with the separation, on February 21, 2025, the Company entered into definitive agreements with WDC that set forth the terms and conditions of the spin-off and provided a framework for the relationship between WDC and the Company following the separation. These agreements include the Separation and Distribution Agreement, which contains certain key provisions related to the spin-off, as well as a Transition Services Agreement (“TSA”), a Tax Matters Agreement, an Employee Matters Agreement, an Intellectual Property Cross-License Agreement, a Transitional Trademark License Agreement, and a Stockholder and Registration Rights Agreement, as described in and filed as Exhibits to the Company’s Current Report on Form 8-K on February 24, 2025. Additionally, the Company adopted certain compensation plans filed as Exhibits to the Company’s Registration Statement on Form 10, initially filed with the U.S. Securities and Exchange Commission (“SEC”) on November 25, 2024, and as further amended thereafter and declared effective on January 31, 2025. The Company also entered into various sublease agreements and established a stock compensation incentive plan in connection with the separation.</w:t>
      </w:r>
    </w:p>
    <w:p>
      <w:pPr>
        <w:spacing w:after="0" w:line="80"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Also on February 21, 2025, in connection with the separation, the Company entered into a $1.5 billion revolving credit facility, which was undrawn at the separation date, and a $2.0 billion term loan facility. The Company used a portion of the proceeds received from the term loan facility and cash on hand to make a net distribution payment of $1.5 billion to WDC in exchange for assets, liabilities, and certain legal entities of WDC associated with the Company. The remaining outstanding balance of the Company’s term loan facility was repaid in full on March 4, 2026.</w:t>
      </w:r>
    </w:p>
    <w:p>
      <w:pPr>
        <w:spacing w:after="0" w:line="72"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After the separation, outstanding restricted stock units (“RSU”) and performance stock units (“PSU”) previously granted by WDC to employees of the Company were adjusted per the terms of the Employee Matters Agreement in an attempt to maintain the economic value of those awards before and after the separation. Generally, continuing Sandisk employees with outstanding RSU awards held as of the spin-off date were converted solely to equivalent RSU awards of the Company, and any outstanding WDC RSU awards held as of the spin-off date were canceled. Outstanding RSU and PSU awards at the time of the spin-off, held by employees at levels equal to Vice President and above, were converted into RSU and PSU awards of both the Company and WDC.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On June 9, 2025, WDC disposed of 21,314,768, or 14.6%, of the Company’s common stock through an exchange of Sandisk’s common stock for WDC debt held by WDC creditors, which shares were sold by affiliates of the WDC creditors in a registered public offering by the Company. On February 18, 2026, WDC disposed of 5,821,135 outstanding shares of the Company through an exchange of Sandisk’s common stock for WDC debt held by WDC creditors, which shares were sold by affiliates of the WDC creditors in a registered public offering by the Company. All expenses for these offerings were paid for by the Company. Following this transaction, WDC continued to retain 1,691,884 of the outstanding shares of the Company’s common stock and, as of March 19, 2026, the sale of such shares is no longer subject to restriction.</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On February 21, 2025, the Company became a standalone publicly traded company, and the Company’s financial statements are now presented on a consolidated basis. Prior to the separation, the Company’s historical consolidated financial information was derived from WDC’s consolidated financial statements and accounting records and prepared as if the Company existed on a standalone basis. The financial statements for all periods presented, including the historical results of the Company prior to February 21, 2025, are now referred to as “Consolidated Financial Statements” and have been prepared in accordance with U.S. generally accepted accounting principles (“GAAP”) and the policies and practices that are generally accepted in the industry in which it operates.</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Certain prior period presentations in the Condensed Consolidated Financial Statements have been reclassified to conform to the current period presentation. These changes in presentation do not affect previously reported results.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21"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wholly-owned subsidiaries. All intercompany accounts and transactions have been eliminated in the preparation of the Condensed Consolidated Financial Statements. The accounts of these foreign subsidiaries have been remeasured using the U.S. dollar as the functional currency. Gains or losses resulting from the remeasurement of these accounts from local currencies into U.S. dollars were immaterial to the Condensed Consolidated Financial Statements. Financial statements of the Company’s foreign subsidiaries for which the functional currency is the local currency are translated into U.S. dollars using the exchange rate at each balance sheet date for assets and liabilities and a weighted average exchange rate for each period for statement of operations items. Translation adjustments are recorded in Accumulated other comprehensive loss, a component of shareholders’ equity.</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Unless otherwise noted, all figures within the Condensed Consolidated Financial Statements are stated in U.S. dollars.</w:t>
      </w:r>
    </w:p>
    <w:p>
      <w:pPr>
        <w:spacing w:after="0" w:line="1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Periods Prior to the Separation</w:t>
      </w:r>
    </w:p>
    <w:p>
      <w:pPr>
        <w:spacing w:after="0" w:line="121" w:lineRule="exact"/>
        <w:rPr>
          <w:sz w:val="20"/>
          <w:szCs w:val="20"/>
          <w:color w:val="auto"/>
        </w:rPr>
      </w:pPr>
    </w:p>
    <w:p>
      <w:pPr>
        <w:ind w:right="160" w:firstLine="486"/>
        <w:spacing w:after="0" w:line="255" w:lineRule="auto"/>
        <w:rPr>
          <w:sz w:val="20"/>
          <w:szCs w:val="20"/>
          <w:color w:val="auto"/>
        </w:rPr>
      </w:pPr>
      <w:r>
        <w:rPr>
          <w:rFonts w:ascii="Times New Roman" w:cs="Times New Roman" w:eastAsia="Times New Roman" w:hAnsi="Times New Roman"/>
          <w:sz w:val="18"/>
          <w:szCs w:val="18"/>
          <w:color w:val="auto"/>
        </w:rPr>
        <w:t>Prior to the separation on February 21, 2025, the Company was an operating segment of WDC. Consequently, standalone interim financial statements were not historically prepared for the Company. The accompanying Condensed Consolidated Financial Statements were prepared based upon WDC’s historical consolidated interim financial statements and accounting records. They were presented on a standalone basis as if the Company’s operations had been conducted independently from WDC. The Company utilized allocations and carve-out methodologies to prepare these historic Condensed Consolidated Financial Statements. The Condensed Consolidated Financial Statements included the historical results of operations, financial position, and cash flows of the Company and were prepared in accordance with GAAP, and the Company has adopted accounting policies and practices generally accepted in the industry in which it operates.</w:t>
      </w:r>
    </w:p>
    <w:p>
      <w:pPr>
        <w:spacing w:after="0" w:line="81"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Intercompany transactions were eliminated, with the exception of balances associated with lending arrangements reflected within Notes due to (from) Western Digital Corporation in the Condensed Consolidated Balance Sheets, and transactions between the Company and WDC were generally considered to be effectively settled in the Condensed Consolidated Financial Statements at the time the transactions were recorded. The total net effect of the settlement of these transactions was reflected in the Condensed Consolidated Statements of Cash Flows as a financing activity and in the Condensed Consolidated Balance Sheets as Net investment from Western Digital Corporation. General financing activities included the net impact of any cash movements resulting from WDC’s centralized treasury cash management.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The Condensed Consolidated Statements of Operations and Comprehensive Income (Loss) included all revenues and costs directly attributable to the Company as well as an allocation of expenses related to facilities, functions, and services provided by WDC. Allocation of general corporate expenses from WDC included, but was not limited to, executive management, finance, tax, legal, information technology, employee benefits administration, treasury, risk management, procurement, and other shared services. These corporate expenses were allocated to the Company based on direct usage or benefit, where identifiable, with the remainder allocated based on headcount, revenue, or other relevant measures. The allocated costs were deemed to be settled between the Company and WDC in the period in which the expense was recorded in the Condensed Consolidated Statements of Operations. The Condensed Consolidated Statements of Cash Flows present these corporate expenses as cash flows from operating activities, as these costs were incurred by WDC on the Company’s behalf. The Company considers these allocations to be a reasonable reflection of the utilization of services by, or the benefits provided to, the Company. The allocations may not, however, reflect the expense the Company would have incurred as a standalone company for the periods presented. Additionally, these costs may not be indicative of the expenses that the Company will incur in the future or would have incurred if the Company had obtained these services from an unrelated third party. It is not practicable to estimate the actual costs that would have been incurred had the Company been a standalone company during the periods presented. The actual costs that may have been incurred would depend on a number of factors, including the chosen organizational structure, whether functions were outsourced or performed by employees, and decisions with respect to areas such as facilities, information technology, and operating infrastructure.</w:t>
      </w:r>
    </w:p>
    <w:p>
      <w:pPr>
        <w:spacing w:after="0" w:line="8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WDC maintains various stock-based compensation plans at a corporate level. Employees of the Company participated in those programs, and a portion of the compensation cost associated with those plans is included in the Company’s Condensed Consolidated Statements of Operations for the periods presented in this Quarterly Report on Form 10-Q. Before the spin-off, stock-based compensation expense was included within Net investment from Western Digital Corporation. The amounts presented in the Condensed Consolidated Financial Statements are not necessarily indicative of future awards and may not reflect the results that the Company would have experienced as a standalone entity.</w:t>
      </w:r>
    </w:p>
    <w:p>
      <w:pPr>
        <w:spacing w:after="0" w:line="75"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Current and deferred income taxes and related tax expenses were determined based on the standalone results of the Company by applying Accounting Standards Codification (“ASC”) No. 740, Income Taxes, to the Company’s operations in each country as if it were a separate taxpayer (i.e., following the “Separate Return Methodology”).</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Periods Post Separation</w:t>
      </w:r>
    </w:p>
    <w:p>
      <w:pPr>
        <w:spacing w:after="0" w:line="108" w:lineRule="exact"/>
        <w:rPr>
          <w:sz w:val="20"/>
          <w:szCs w:val="20"/>
          <w:color w:val="auto"/>
        </w:rPr>
      </w:pPr>
    </w:p>
    <w:p>
      <w:pPr>
        <w:ind w:right="240" w:firstLine="486"/>
        <w:spacing w:after="0" w:line="250" w:lineRule="auto"/>
        <w:rPr>
          <w:sz w:val="20"/>
          <w:szCs w:val="20"/>
          <w:color w:val="auto"/>
        </w:rPr>
      </w:pPr>
      <w:r>
        <w:rPr>
          <w:rFonts w:ascii="Times New Roman" w:cs="Times New Roman" w:eastAsia="Times New Roman" w:hAnsi="Times New Roman"/>
          <w:sz w:val="18"/>
          <w:szCs w:val="18"/>
          <w:color w:val="auto"/>
        </w:rPr>
        <w:t>After the separation on February 21, 2025, the Company’s financial statements for the period from February 22, 2025 through April 3, 2026 are Condensed Consolidated Financial Statements based on the Company’s reported results as a standalone company. All transactions and accounts between controlled entities within the Company have been eliminated.</w:t>
      </w:r>
    </w:p>
    <w:p>
      <w:pPr>
        <w:spacing w:after="0" w:line="82"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Following the separation, certain functions continue to be provided by or for WDC for up to fifteen months under the TSA or are being performed using the Company’s own resources or third-party service providers. For the period ended April 3, 2026, charges under the TSA were not material.</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Company has prepared the accompanying Condensed Consolidated Financial Statements pursuant to the rules and regulations of the SEC for interim financial reporting. These Condensed Consolidated Financial Statements are unaudited and, in management’s opinion, include all adjustments, consisting of normal recurring adjustments and accruals necessary for a fair presentation of the Company’s operations, financial position, and cash flows for the periods presented. Operating results for the periods presented are not necessarily indicative of the results that may be expected for the full fiscal year due to seasonal and other factors. Certain information and footnote disclosures normally included in financial statements prepared in accordance with GAAP have been omitted in accordance with the rules and regulations of the SEC. These Condensed Consolidated Financial Statements should be read in conjunction with the Company’s audited Consolidated Financial Statements and accompanying notes for the year ended June 27, 2025, included in the Company’s Annual Report on Form 10-K.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119"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Company’s fiscal year ends on the Friday nearest to June 30 and typically consists of 52 weeks. Approximately every five to six years, the Company reports a 53-week fiscal year to align the fiscal year with the foregoing policy. Fiscal year 2025, which ended on June 27, 2025, was comprised of 52 weeks, with all quarters consisting of 13 weeks. Fiscal year 2026 is comprised of 53 weeks and ends on July 3, 2026, with the first fiscal quarter consisting of 14 weeks. Unless otherwise indicated, references herein to specific years and quarters are to fiscal years and fiscal quarters, and references to financial information are on a condensed consolidated basis.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19" w:lineRule="exact"/>
        <w:rPr>
          <w:sz w:val="20"/>
          <w:szCs w:val="20"/>
          <w:color w:val="auto"/>
        </w:rPr>
      </w:pPr>
    </w:p>
    <w:p>
      <w:pPr>
        <w:ind w:right="20" w:firstLine="486"/>
        <w:spacing w:after="0" w:line="281" w:lineRule="auto"/>
        <w:rPr>
          <w:sz w:val="20"/>
          <w:szCs w:val="20"/>
          <w:color w:val="auto"/>
        </w:rPr>
      </w:pPr>
      <w:r>
        <w:rPr>
          <w:rFonts w:ascii="Times New Roman" w:cs="Times New Roman" w:eastAsia="Times New Roman" w:hAnsi="Times New Roman"/>
          <w:sz w:val="17"/>
          <w:szCs w:val="17"/>
          <w:color w:val="auto"/>
        </w:rPr>
        <w:t>The Company develops, manufactures, markets, and sells data storage devices and solutions based on NAND flash technology in the U.S. and in foreign countries through its sales personnel, dealers, distributors, retailers, and subsidiaries. The Company manages and reports its business operations under a single reportable operating segment. Operating segments are components of an enterprise for which separate financial information is available and are evaluated regularly by the Company’s Chief Operating Decision Maker (“CODM”) in deciding how to allocate resources and in assessing performance.</w:t>
      </w:r>
    </w:p>
    <w:p>
      <w:pPr>
        <w:spacing w:after="0" w:line="56"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The Chief Executive Officer, who is the CODM, evaluates the performance of the Company and makes resource allocation decisions for its single reportable operating segment based upon the Company’s condensed consolidated operating income (loss) and net income (loss). The CODM considers variances of actual performance to forecasted amounts of these profit measures when making decisions. Asset information is not used by the CODM to evaluate performance or allocate resources.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Management has made estimates and assumptions relating to the reporting of certain assets and liabilities in conformity with GAAP. These estimates and assumptions have been applied using methodologies that are consistent throughout the periods presented, with consideration given to the potential impacts of current macroeconomic conditions, including the evolving impacts from tariffs. However, actual results could differ materially from these estimates.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Separation Costs</w:t>
      </w:r>
    </w:p>
    <w:p>
      <w:pPr>
        <w:spacing w:after="0" w:line="119"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Company has incurred separation and transition costs related to the completion of its separation from WDC. The separation and transition costs are recorded within Business separation costs in the Condensed Consolidated Statements of Operations.</w:t>
      </w:r>
    </w:p>
    <w:p>
      <w:pPr>
        <w:spacing w:after="0" w:line="5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2.</w:t>
        <w:tab/>
        <w:t>Recent Accounting Pronouncements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Recently Adopted</w:t>
      </w:r>
    </w:p>
    <w:p>
      <w:pPr>
        <w:spacing w:after="0" w:line="121" w:lineRule="exact"/>
        <w:rPr>
          <w:sz w:val="20"/>
          <w:szCs w:val="20"/>
          <w:color w:val="auto"/>
        </w:rPr>
      </w:pPr>
    </w:p>
    <w:p>
      <w:pPr>
        <w:ind w:right="200"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No. 2023-07, “Segment Reporting (Topic 280): Improvements to Reportable Segment Disclosures,” which expands segment reporting requirements, primarily through enhanced disclosures surrounding significant segment expenses. This ASU expands on existing segment reporting requirements to require that a public entity disclose, on an annual and interim basis, significant segment expenses that are regularly provided to an entity’s CODM, a description of other segment items by reportable segment, and any additional measures of a segment’s profit or loss used by the CODM when deciding how to allocate resources. The Company adopted the guidance retrospectively in the fourth quarter of fiscal 2025. See Note 9,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for additional disclosures.</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21"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ASU calls for enhanced income tax disclosure requirements surrounding the tabular rate reconciliation and income taxes paid. The Company is currently compiling the information required for these disclosures. These incremental disclosures will be required beginning with the Company’s financial statements for the year ending July 3, 2026, with early adoption permitted. The Company expects to provide any required disclosures at that time.</w:t>
      </w:r>
    </w:p>
    <w:p>
      <w:pPr>
        <w:spacing w:after="0" w:line="72"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is intended to improve disclosures about the expenses of public entities. This ASU requires more detailed information about the types of expenses in commonly presented expense captions (such as cost of sales and selling, general and administrative expenses) and requires public entities to disclose, on an annual and interim basis, the amounts of expenses included in each relevant expense caption presented on the face of the income statement within continuing operations, in a tabular format. Additionally, public entities will be required to disclose a qualitative description of the amounts remaining in relevant expense captions that are not separately disaggregated quantitatively, the total amount of selling expenses, and, in annual reporting periods, the definition of selling expenses. This ASU is effective on either a prospective or retrospective basis for fiscal years beginning after December 15, 2026, and interim periods within fiscal years beginning after December 15, 2027, with early adoption permitted. The Company is currently compiling the information required for these disclosures and assessing the basis of adoption. The Company expects to provide any required disclosures for annual reporting periods included in the Company’s financial statements for the year ending June 30, 2028.</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which is intended to modernize the accounting for software costs. The amendments eliminate references to software development project stages and introduce a new threshold for capitalization. This ASU requires an entity to start capitalizing software costs when both of the following occur: (i) management has authorized and committed to funding the software project and (ii) it is probable that the project will be completed and the software will be used to perform the function intended (referred to as the “probable-to-complete recognition threshold”). This ASU is effective for interim reporting periods within annual reporting periods beginning after December 15, 2027, with early adoption permitted. The Company is currently assessing the impact of this ASU in the Company’s financial statements. The ASU will be effective beginning with the Company’s financial statements for the year ending June 29, 2029.</w:t>
      </w:r>
    </w:p>
    <w:p>
      <w:pPr>
        <w:spacing w:after="0" w:line="84"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ASU 2025-10, “Accounting for Government Grants Received by Business Entities”, which is intended to clarify the accounting treatment for government grants received by business entities. This ASU establishes the accounting for a government grant received by a business entity, including guidance for a grant related to an asset and a grant related to income. This ASU also provides guidance on recognition, measurement and presentation of government grants received by a business entity. This ASU is effective for annual reporting periods beginning after December 15, 2028, and interim reporting periods within those annual reporting periods. The Company is currently assessing the impact of this ASU in the Company’s financial statements. This ASU will be effective beginning with the Company’s financial statements for the year ending June 28, 2030.</w:t>
      </w:r>
    </w:p>
    <w:p>
      <w:pPr>
        <w:spacing w:after="0" w:line="7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This ASU makes targeted, narrow-scope improvements to the interim reporting guidance to clarify application and to improve consistency in practice. The amendments do not change the underlying principles of interim reporting. This ASU is effective for interim reporting periods within annual reporting periods beginning after December 15, 2027, with early adoption permitted. The Company is currently assessing the impact of this ASU in the Company’s financial statements. The ASU will be effective beginning with the Company’s financial statements for the year ending June 29, 2029.</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3.</w:t>
        <w:tab/>
        <w:t>Geographic Information and Concentrations of Risk</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121"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The Company’s broad portfolio of technology and products addresses multiple end markets. Datacenter represents a large and growing end market comprised primarily of products for public or private cloud environments and enterprise customers. Through the Edge end market, the Company provides its original equipment manufacturer (“OEM”) and channel customers a broad array of high-performance flash solutions across personal computer, mobile, gaming, automotive, virtual reality headsets, at-home entertainment, and industrial spaces. The Consumer end market is highlighted by the Company’s broad range of retail and other end-user products, which capitalize on the strength of the Company’s product brand recognition and vast points of presence around the world.</w:t>
      </w:r>
    </w:p>
    <w:p>
      <w:pPr>
        <w:sectPr>
          <w:pgSz w:w="11900" w:h="16838" w:orient="portrait"/>
          <w:cols w:equalWidth="0" w:num="1">
            <w:col w:w="11240"/>
          </w:cols>
          <w:pgMar w:left="320" w:top="121" w:right="339" w:bottom="1440" w:gutter="0" w:footer="0" w:header="0"/>
        </w:sectPr>
      </w:pP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Company’s disaggregated revenue information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Revenue by end market:</w:t>
            </w:r>
          </w:p>
        </w:tc>
        <w:tc>
          <w:tcPr>
            <w:tcW w:w="1520" w:type="dxa"/>
            <w:vAlign w:val="bottom"/>
          </w:tcPr>
          <w:p>
            <w:pPr>
              <w:spacing w:after="0"/>
              <w:rPr>
                <w:sz w:val="19"/>
                <w:szCs w:val="19"/>
                <w:color w:val="auto"/>
              </w:rPr>
            </w:pPr>
          </w:p>
        </w:tc>
      </w:tr>
      <w:tr>
        <w:trPr>
          <w:trHeight w:val="229"/>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Datacenter</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Edge</w:t>
            </w:r>
          </w:p>
        </w:tc>
        <w:tc>
          <w:tcPr>
            <w:tcW w:w="1520" w:type="dxa"/>
            <w:vAlign w:val="bottom"/>
          </w:tcPr>
          <w:p>
            <w:pPr>
              <w:spacing w:after="0"/>
              <w:rPr>
                <w:sz w:val="19"/>
                <w:szCs w:val="19"/>
                <w:color w:val="auto"/>
              </w:rPr>
            </w:pPr>
          </w:p>
        </w:tc>
      </w:tr>
      <w:tr>
        <w:trPr>
          <w:trHeight w:val="234"/>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Consumer</w:t>
            </w:r>
          </w:p>
        </w:tc>
        <w:tc>
          <w:tcPr>
            <w:tcW w:w="1520" w:type="dxa"/>
            <w:vAlign w:val="bottom"/>
          </w:tcPr>
          <w:p>
            <w:pPr>
              <w:spacing w:after="0"/>
              <w:rPr>
                <w:sz w:val="20"/>
                <w:szCs w:val="20"/>
                <w:color w:val="auto"/>
              </w:rPr>
            </w:pPr>
          </w:p>
        </w:tc>
      </w:tr>
      <w:tr>
        <w:trPr>
          <w:trHeight w:val="270"/>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95"/>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Revenue by geography:</w:t>
            </w:r>
          </w:p>
        </w:tc>
        <w:tc>
          <w:tcPr>
            <w:tcW w:w="1520" w:type="dxa"/>
            <w:vAlign w:val="bottom"/>
          </w:tcPr>
          <w:p>
            <w:pPr>
              <w:spacing w:after="0"/>
              <w:rPr>
                <w:sz w:val="24"/>
                <w:szCs w:val="24"/>
                <w:color w:val="auto"/>
              </w:rPr>
            </w:pPr>
          </w:p>
        </w:tc>
      </w:tr>
      <w:tr>
        <w:trPr>
          <w:trHeight w:val="230"/>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1520" w:type="dxa"/>
            <w:vAlign w:val="bottom"/>
          </w:tcPr>
          <w:p>
            <w:pPr>
              <w:spacing w:after="0"/>
              <w:rPr>
                <w:sz w:val="19"/>
                <w:szCs w:val="19"/>
                <w:color w:val="auto"/>
              </w:rPr>
            </w:pPr>
          </w:p>
        </w:tc>
      </w:tr>
      <w:tr>
        <w:trPr>
          <w:trHeight w:val="230"/>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520" w:type="dxa"/>
            <w:vAlign w:val="bottom"/>
          </w:tcPr>
          <w:p>
            <w:pPr>
              <w:spacing w:after="0"/>
              <w:rPr>
                <w:sz w:val="19"/>
                <w:szCs w:val="19"/>
                <w:color w:val="auto"/>
              </w:rPr>
            </w:pPr>
          </w:p>
        </w:tc>
      </w:tr>
      <w:tr>
        <w:trPr>
          <w:trHeight w:val="248"/>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62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1100" w:type="dxa"/>
            <w:vAlign w:val="bottom"/>
          </w:tcPr>
          <w:p>
            <w:pPr>
              <w:jc w:val="right"/>
              <w:ind w:right="430"/>
              <w:spacing w:after="0" w:line="169" w:lineRule="exact"/>
              <w:rPr>
                <w:sz w:val="20"/>
                <w:szCs w:val="20"/>
                <w:color w:val="auto"/>
              </w:rPr>
            </w:pPr>
            <w:r>
              <w:rPr>
                <w:rFonts w:ascii="Times New Roman" w:cs="Times New Roman" w:eastAsia="Times New Roman" w:hAnsi="Times New Roman"/>
                <w:sz w:val="18"/>
                <w:szCs w:val="18"/>
                <w:b w:val="1"/>
                <w:bCs w:val="1"/>
                <w:color w:val="auto"/>
                <w:w w:val="94"/>
              </w:rPr>
              <w:t>April 3,</w:t>
            </w:r>
          </w:p>
        </w:tc>
        <w:tc>
          <w:tcPr>
            <w:tcW w:w="220" w:type="dxa"/>
            <w:vAlign w:val="bottom"/>
          </w:tcPr>
          <w:p>
            <w:pPr>
              <w:spacing w:after="0"/>
              <w:rPr>
                <w:sz w:val="14"/>
                <w:szCs w:val="14"/>
                <w:color w:val="auto"/>
              </w:rPr>
            </w:pPr>
          </w:p>
        </w:tc>
        <w:tc>
          <w:tcPr>
            <w:tcW w:w="130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420" w:type="dxa"/>
            <w:vAlign w:val="bottom"/>
          </w:tcPr>
          <w:p>
            <w:pPr>
              <w:spacing w:after="0"/>
              <w:rPr>
                <w:sz w:val="14"/>
                <w:szCs w:val="14"/>
                <w:color w:val="auto"/>
              </w:rPr>
            </w:pPr>
          </w:p>
        </w:tc>
        <w:tc>
          <w:tcPr>
            <w:tcW w:w="11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April 3,</w:t>
            </w:r>
          </w:p>
        </w:tc>
        <w:tc>
          <w:tcPr>
            <w:tcW w:w="220" w:type="dxa"/>
            <w:vAlign w:val="bottom"/>
          </w:tcPr>
          <w:p>
            <w:pPr>
              <w:spacing w:after="0"/>
              <w:rPr>
                <w:sz w:val="14"/>
                <w:szCs w:val="14"/>
                <w:color w:val="auto"/>
              </w:rPr>
            </w:pPr>
          </w:p>
        </w:tc>
        <w:tc>
          <w:tcPr>
            <w:tcW w:w="122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r>
      <w:tr>
        <w:trPr>
          <w:trHeight w:val="238"/>
        </w:trPr>
        <w:tc>
          <w:tcPr>
            <w:tcW w:w="11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2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8"/>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454"/>
        </w:trPr>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1,467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8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29"/>
        </w:trPr>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3,663</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w:t>
            </w:r>
          </w:p>
        </w:tc>
      </w:tr>
      <w:tr>
        <w:trPr>
          <w:trHeight w:val="234"/>
        </w:trPr>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820</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r>
      <w:tr>
        <w:trPr>
          <w:trHeight w:val="223"/>
        </w:trPr>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5,950</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5,454</w:t>
            </w:r>
          </w:p>
        </w:tc>
      </w:tr>
      <w:tr>
        <w:trPr>
          <w:trHeight w:val="21"/>
        </w:trPr>
        <w:tc>
          <w:tcPr>
            <w:tcW w:w="1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91"/>
        </w:trPr>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4,272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8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w:t>
            </w:r>
          </w:p>
        </w:tc>
      </w:tr>
      <w:tr>
        <w:trPr>
          <w:trHeight w:val="229"/>
        </w:trPr>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1,209</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r>
      <w:tr>
        <w:trPr>
          <w:trHeight w:val="234"/>
        </w:trPr>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469</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r>
      <w:tr>
        <w:trPr>
          <w:trHeight w:val="223"/>
        </w:trPr>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5,950</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5,454</w:t>
            </w:r>
          </w:p>
        </w:tc>
      </w:tr>
      <w:tr>
        <w:trPr>
          <w:trHeight w:val="21"/>
        </w:trPr>
        <w:tc>
          <w:tcPr>
            <w:tcW w:w="1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-1696720</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-1405255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-770890</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-479425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-187960</wp:posOffset>
            </wp:positionV>
            <wp:extent cx="713232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-1113790</wp:posOffset>
            </wp:positionV>
            <wp:extent cx="71323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-1851025</wp:posOffset>
            </wp:positionV>
            <wp:extent cx="38061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061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-2125345</wp:posOffset>
            </wp:positionV>
            <wp:extent cx="18688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5360" w:space="300"/>
            <w:col w:w="5580"/>
          </w:cols>
          <w:pgMar w:left="320" w:top="121" w:right="339" w:bottom="1440" w:gutter="0" w:footer="0" w:header="0"/>
          <w:type w:val="continuous"/>
        </w:sect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Company’s top 10 customers accounted for 46% and 41% of its net revenue for the three and nine months ended April 3, 2026, respectively, and 41% and 43% of its net revenue for the three and nine months ended March 28, 2025, respectively. For the three months ended April 3, 2026, one customer accounted for more than 10% of the Company’s net revenue and for the three months ended March 28, 2025, a different customer accounted for more than 10% of the Company’s net revenue. For the nine months ended April 3, 2026 and March 28, 2025, no customer accounted for more than 10% of the Company’s net revenue.</w:t>
      </w:r>
    </w:p>
    <w:p>
      <w:pPr>
        <w:spacing w:after="0" w:line="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4.</w:t>
        <w:tab/>
        <w:t>Revenue</w:t>
      </w:r>
    </w:p>
    <w:p>
      <w:pPr>
        <w:spacing w:after="0" w:line="121" w:lineRule="exact"/>
        <w:rPr>
          <w:sz w:val="20"/>
          <w:szCs w:val="20"/>
          <w:color w:val="auto"/>
        </w:rPr>
      </w:pPr>
    </w:p>
    <w:p>
      <w:pPr>
        <w:jc w:val="both"/>
        <w:ind w:firstLine="486"/>
        <w:spacing w:after="0" w:line="224" w:lineRule="exact"/>
        <w:rPr>
          <w:sz w:val="20"/>
          <w:szCs w:val="20"/>
          <w:color w:val="auto"/>
        </w:rPr>
      </w:pPr>
      <w:r>
        <w:rPr>
          <w:rFonts w:ascii="Times New Roman" w:cs="Times New Roman" w:eastAsia="Times New Roman" w:hAnsi="Times New Roman"/>
          <w:sz w:val="18"/>
          <w:szCs w:val="18"/>
          <w:color w:val="auto"/>
        </w:rPr>
        <w:t>Contract assets represent the Company’s right to consideration where performance obligations are completed but the customer payments are not due until another performance obligation is satisfied. The contract assets as of April 3, 2026 were not material and the Company had no contract assets as of June 27, 2025. Contract liabilities relate to customer payments in advance of performance under the contract and primarily include remaining performance obligations under long-term agreements. The contract liabilities as of June 27, 2025 were $25 million, of which $22 million were recognized as revenue during the nine months ended April 3, 2026. Total contract liabilities as of April 3, 2026 were $511 million. The increase in contract liabilities during the period was driven by customer advances associated with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agreements entered into during the period.</w:t>
      </w:r>
    </w:p>
    <w:p>
      <w:pPr>
        <w:spacing w:after="0" w:line="64" w:lineRule="exact"/>
        <w:rPr>
          <w:sz w:val="20"/>
          <w:szCs w:val="20"/>
          <w:color w:val="auto"/>
        </w:rPr>
      </w:pPr>
    </w:p>
    <w:p>
      <w:pPr>
        <w:ind w:right="120" w:firstLine="486"/>
        <w:spacing w:after="0" w:line="289" w:lineRule="auto"/>
        <w:rPr>
          <w:sz w:val="20"/>
          <w:szCs w:val="20"/>
          <w:color w:val="auto"/>
        </w:rPr>
      </w:pPr>
      <w:r>
        <w:rPr>
          <w:rFonts w:ascii="Times New Roman" w:cs="Times New Roman" w:eastAsia="Times New Roman" w:hAnsi="Times New Roman"/>
          <w:sz w:val="17"/>
          <w:szCs w:val="17"/>
          <w:color w:val="auto"/>
        </w:rPr>
        <w:t>The Company incurs sales commissions as direct incremental costs to obtain sales contracts. The Company has applied the practical expedient to recognize sales commissions as an expense when incurred if the amortization period is expected to be one year or less, with these costs charged to Selling, general and administrative expenses. Direct incremental costs to obtain contracts with an expected benefit of more than one year were not material.</w:t>
      </w:r>
    </w:p>
    <w:p>
      <w:pPr>
        <w:spacing w:after="0" w:line="50"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As of April 3, 2026, the transaction price allocated to remaining performance obligations was $41.6 billion, of which $41.2 billion has not yet been billed and $0.4 billion has been recorded as contract liabilities. Approximately 15% of the remaining performance obligations from these contracts with customers are expected to be recognized as revenue over the next twelve months. The remaining performance obligations are mainly attributed to long-term agreements with customers.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The Company applies the practical expedient and does not disclose the transaction price allocated to the remaining performance obligations for (i) arrangements with an original expected duration of one year or less, mainly consisting of sales of qualification units to customers, professional service, support, and maintenance contracts, and (ii) variable consideration for sale-based or usage-based royalties for intellectual property license arrangements, which typically range longer than one year.</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Supplemental Financial Statement Data</w:t>
            </w: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24"/>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24"/>
        </w:trPr>
        <w:tc>
          <w:tcPr>
            <w:tcW w:w="9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provides a summary of goodwill activity for the period presented:</w:t>
            </w: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58"/>
        </w:trPr>
        <w:tc>
          <w:tcPr>
            <w:tcW w:w="9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Goodwill</w:t>
            </w:r>
          </w:p>
        </w:tc>
      </w:tr>
      <w:tr>
        <w:trPr>
          <w:trHeight w:val="236"/>
        </w:trPr>
        <w:tc>
          <w:tcPr>
            <w:tcW w:w="9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jc w:val="right"/>
              <w:ind w:right="450"/>
              <w:spacing w:after="0"/>
              <w:rPr>
                <w:sz w:val="20"/>
                <w:szCs w:val="20"/>
                <w:color w:val="auto"/>
              </w:rPr>
            </w:pPr>
            <w:r>
              <w:rPr>
                <w:rFonts w:ascii="Times New Roman" w:cs="Times New Roman" w:eastAsia="Times New Roman" w:hAnsi="Times New Roman"/>
                <w:sz w:val="18"/>
                <w:szCs w:val="18"/>
                <w:i w:val="1"/>
                <w:iCs w:val="1"/>
                <w:color w:val="auto"/>
              </w:rPr>
              <w:t>(in millions)</w:t>
            </w:r>
          </w:p>
        </w:tc>
      </w:t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27, 2025</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4,999</w:t>
            </w:r>
          </w:p>
        </w:tc>
      </w:tr>
      <w:tr>
        <w:trPr>
          <w:trHeight w:val="22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April 3, 2026</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4,994</w:t>
            </w:r>
          </w:p>
        </w:tc>
      </w:tr>
      <w:tr>
        <w:trPr>
          <w:trHeight w:val="21"/>
        </w:trPr>
        <w:tc>
          <w:tcPr>
            <w:tcW w:w="9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Goodwill represents the historical goodwill balances arising from acquisitions specific to the Company prior to the spin-off from WDC.</w:t>
      </w:r>
    </w:p>
    <w:p>
      <w:pPr>
        <w:spacing w:after="0" w:line="117"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The Company determined that its single operating segment was also its single reporting unit. Goodwill is not amortized. Instead, it is tested for impairment annually as of the beginning of the Company’s fourth quarter or more frequently if events or changes in circumstances indicate that goodwill may be impaired.</w:t>
      </w:r>
    </w:p>
    <w:p>
      <w:pPr>
        <w:spacing w:after="0" w:line="68" w:lineRule="exact"/>
        <w:rPr>
          <w:sz w:val="20"/>
          <w:szCs w:val="20"/>
          <w:color w:val="auto"/>
        </w:rPr>
      </w:pPr>
    </w:p>
    <w:p>
      <w:pPr>
        <w:ind w:right="460" w:firstLine="486"/>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March 28, 2025, the Company identified potential impairment indicators related to macroeconomic indicators, industry developments, the trading price of the Company’s common stock and resulting market capitalization that warranted a quantitative impairment analysis of long-lived assets and goodwill.</w:t>
      </w:r>
    </w:p>
    <w:p>
      <w:pPr>
        <w:spacing w:after="0" w:line="68"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In accordance with FASB ASC No. 360, “Property, Plant, and Equipment,” the Company performed a recoverability test at the asset group level, which was determined to be equivalent to its reporting unit to assess potential impairments of long-lived assets comprised of property, plant and equipment. The results of the recoverability test showed that the estimated undiscounted net cash flows to be generated from the use and eventual disposition of the Company’s long-lived assets exceeded its net carrying value. As a result, no write-down of depreciable long-lived assets was recognized as of March 28, 2025.</w:t>
      </w:r>
    </w:p>
    <w:p>
      <w:pPr>
        <w:spacing w:after="0" w:line="75"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In accordance with ASC No. 350, “Intangibles - Goodwill and Other,” the Company performed a quantitative test by measuring the fair value of its reporting unit based on a weighting of two valuation methodologies: an income approach and a market approach.</w:t>
      </w:r>
    </w:p>
    <w:p>
      <w:pPr>
        <w:spacing w:after="0" w:line="54"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income approach valued the projected discounted cash flows that are expected to be generated by the Company’s reporting unit and required judgments and estimates surrounding general economic conditions and company-specific performance inputs such as revenue growth rates, gross margins, operating costs, capital expenditures, assumed tax rates and other assumptions deemed reasonable by management.</w:t>
      </w:r>
    </w:p>
    <w:p>
      <w:pPr>
        <w:spacing w:after="0" w:line="68"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The market approach valued the reporting unit based on financial performance and market multiples of comparable public companies, including consideration of a control premium representing the estimated amount a market participant would pay to obtain a controlling interest in the Company.</w:t>
      </w:r>
    </w:p>
    <w:p>
      <w:pPr>
        <w:spacing w:after="0" w:line="54"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results of the quantitative test indicated that the carrying value of our reporting unit exceeded its estimated fair value, resulting in the recognition of a $1.8 billion goodwill impairment charge as of, and for the period ended, March 28, 2025, which was recorded in the accompanying Condensed Consolidated Statements of Operations.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three and nine months ended April 3, 2026, the Company recorded no goodwill impairment charges.</w:t>
      </w:r>
    </w:p>
    <w:p>
      <w:pPr>
        <w:spacing w:after="0" w:line="1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From time to time, in connection with factoring agreements, WDC sold certain of the Company’s trade accounts receivable without recourse to third-party purchasers in exchange for cash. During the three and nine months ended April 3, 2026, there were no trade accounts receivable sold by the Company. During the three and nine months ended March 28, 2025, there were no trade accounts receivable sold by the Company. There were no factored receivables outstanding as of April 3, 2026 or June 27, 2025.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200" w:type="dxa"/>
            <w:vAlign w:val="bottom"/>
          </w:tcPr>
          <w:p>
            <w:pPr>
              <w:spacing w:after="0"/>
              <w:rPr>
                <w:sz w:val="24"/>
                <w:szCs w:val="24"/>
                <w:color w:val="auto"/>
              </w:rPr>
            </w:pPr>
          </w:p>
        </w:tc>
        <w:tc>
          <w:tcPr>
            <w:tcW w:w="136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April 3,</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27,</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200" w:type="dxa"/>
            <w:vAlign w:val="bottom"/>
          </w:tcPr>
          <w:p>
            <w:pPr>
              <w:spacing w:after="0"/>
              <w:rPr>
                <w:sz w:val="20"/>
                <w:szCs w:val="20"/>
                <w:color w:val="auto"/>
              </w:rPr>
            </w:pPr>
          </w:p>
        </w:tc>
        <w:tc>
          <w:tcPr>
            <w:tcW w:w="136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8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Raw materials and component parts</w:t>
            </w:r>
          </w:p>
        </w:tc>
        <w:tc>
          <w:tcPr>
            <w:tcW w:w="13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80" w:type="dxa"/>
            <w:vAlign w:val="bottom"/>
          </w:tcPr>
          <w:p>
            <w:pPr>
              <w:spacing w:after="0"/>
              <w:rPr>
                <w:sz w:val="19"/>
                <w:szCs w:val="19"/>
                <w:color w:val="auto"/>
              </w:rPr>
            </w:pPr>
          </w:p>
        </w:tc>
        <w:tc>
          <w:tcPr>
            <w:tcW w:w="13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Work-in-process</w:t>
            </w:r>
          </w:p>
        </w:tc>
        <w:tc>
          <w:tcPr>
            <w:tcW w:w="13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Finished goods</w:t>
            </w:r>
          </w:p>
        </w:tc>
        <w:tc>
          <w:tcPr>
            <w:tcW w:w="1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inventories</w:t>
            </w: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2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200" w:type="dxa"/>
            <w:vAlign w:val="bottom"/>
          </w:tcPr>
          <w:p>
            <w:pPr>
              <w:spacing w:after="0"/>
              <w:rPr>
                <w:sz w:val="24"/>
                <w:szCs w:val="24"/>
                <w:color w:val="auto"/>
              </w:rPr>
            </w:pPr>
          </w:p>
        </w:tc>
        <w:tc>
          <w:tcPr>
            <w:tcW w:w="136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April 3,</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27,</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200" w:type="dxa"/>
            <w:vAlign w:val="bottom"/>
          </w:tcPr>
          <w:p>
            <w:pPr>
              <w:spacing w:after="0"/>
              <w:rPr>
                <w:sz w:val="20"/>
                <w:szCs w:val="20"/>
                <w:color w:val="auto"/>
              </w:rPr>
            </w:pPr>
          </w:p>
        </w:tc>
        <w:tc>
          <w:tcPr>
            <w:tcW w:w="136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8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13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3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Machinery and equipment</w:t>
            </w:r>
          </w:p>
        </w:tc>
        <w:tc>
          <w:tcPr>
            <w:tcW w:w="13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0" w:type="dxa"/>
            <w:vAlign w:val="bottom"/>
          </w:tcPr>
          <w:p>
            <w:pPr>
              <w:spacing w:after="0"/>
              <w:rPr>
                <w:sz w:val="1"/>
                <w:szCs w:val="1"/>
                <w:color w:val="auto"/>
              </w:rPr>
            </w:pPr>
          </w:p>
        </w:tc>
      </w:tr>
      <w:tr>
        <w:trPr>
          <w:trHeight w:val="23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3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3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9"/>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Furniture and fixtures</w:t>
            </w:r>
          </w:p>
        </w:tc>
        <w:tc>
          <w:tcPr>
            <w:tcW w:w="13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Construction-in-process</w:t>
            </w:r>
          </w:p>
        </w:tc>
        <w:tc>
          <w:tcPr>
            <w:tcW w:w="1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3"/>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13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0" w:type="dxa"/>
            <w:vAlign w:val="bottom"/>
          </w:tcPr>
          <w:p>
            <w:pPr>
              <w:spacing w:after="0"/>
              <w:rPr>
                <w:sz w:val="1"/>
                <w:szCs w:val="1"/>
                <w:color w:val="auto"/>
              </w:rPr>
            </w:pPr>
          </w:p>
        </w:tc>
      </w:tr>
      <w:tr>
        <w:trPr>
          <w:trHeight w:val="223"/>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36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80" w:type="dxa"/>
            <w:vAlign w:val="bottom"/>
          </w:tcPr>
          <w:p>
            <w:pPr>
              <w:spacing w:after="0"/>
              <w:rPr>
                <w:sz w:val="19"/>
                <w:szCs w:val="19"/>
                <w:color w:val="auto"/>
              </w:rPr>
            </w:pPr>
          </w:p>
        </w:tc>
        <w:tc>
          <w:tcPr>
            <w:tcW w:w="138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Product warranty liability</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72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Changes in the warranty accrual were as follows: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Product Warranty Liability</w:t>
            </w:r>
          </w:p>
        </w:tc>
        <w:tc>
          <w:tcPr>
            <w:tcW w:w="0" w:type="dxa"/>
            <w:vAlign w:val="bottom"/>
          </w:tcPr>
          <w:p>
            <w:pPr>
              <w:spacing w:after="0"/>
              <w:rPr>
                <w:sz w:val="1"/>
                <w:szCs w:val="1"/>
                <w:color w:val="auto"/>
              </w:rPr>
            </w:pPr>
          </w:p>
        </w:tc>
      </w:tr>
      <w:tr>
        <w:trPr>
          <w:trHeight w:val="236"/>
        </w:trPr>
        <w:tc>
          <w:tcPr>
            <w:tcW w:w="7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27, 2025</w:t>
            </w:r>
          </w:p>
        </w:tc>
        <w:tc>
          <w:tcPr>
            <w:tcW w:w="13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Charges to operations</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Utilization</w:t>
            </w: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Changes in estimate related to pre-existing warranties</w:t>
            </w:r>
          </w:p>
        </w:tc>
        <w:tc>
          <w:tcPr>
            <w:tcW w:w="13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April 3, 2026</w:t>
            </w:r>
          </w:p>
        </w:tc>
        <w:tc>
          <w:tcPr>
            <w:tcW w:w="1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-4748530</wp:posOffset>
            </wp:positionV>
            <wp:extent cx="60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-3205480</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current portion of the warranty accrual was classified in Accrued expenses and the long-term portion was classified in Other liabilities as noted below:</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tcPr>
          <w:p>
            <w:pPr>
              <w:spacing w:after="0"/>
              <w:rPr>
                <w:sz w:val="18"/>
                <w:szCs w:val="18"/>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April 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June 27,</w:t>
            </w:r>
          </w:p>
        </w:tc>
      </w:tr>
      <w:tr>
        <w:trPr>
          <w:trHeight w:val="241"/>
        </w:trPr>
        <w:tc>
          <w:tcPr>
            <w:tcW w:w="7200" w:type="dxa"/>
            <w:vAlign w:val="bottom"/>
          </w:tcPr>
          <w:p>
            <w:pPr>
              <w:spacing w:after="0"/>
              <w:rPr>
                <w:sz w:val="20"/>
                <w:szCs w:val="20"/>
                <w:color w:val="auto"/>
              </w:rPr>
            </w:pPr>
          </w:p>
        </w:tc>
        <w:tc>
          <w:tcPr>
            <w:tcW w:w="1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7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40" w:type="dxa"/>
            <w:vAlign w:val="bottom"/>
          </w:tcPr>
          <w:p>
            <w:pPr>
              <w:spacing w:after="0"/>
              <w:rPr>
                <w:sz w:val="19"/>
                <w:szCs w:val="19"/>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accrual:</w:t>
            </w:r>
          </w:p>
        </w:tc>
        <w:tc>
          <w:tcPr>
            <w:tcW w:w="1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w:t>
            </w:r>
          </w:p>
        </w:tc>
        <w:tc>
          <w:tcPr>
            <w:tcW w:w="144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portion</w:t>
            </w:r>
          </w:p>
        </w:tc>
        <w:tc>
          <w:tcPr>
            <w:tcW w:w="14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warranty accrual</w:t>
            </w:r>
          </w:p>
        </w:tc>
        <w:tc>
          <w:tcPr>
            <w:tcW w:w="144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7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-779145</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Other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liabilities: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Non-current lease liability</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Tax indemnification liability</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other liabilities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31"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21"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452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16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April 3,</w:t>
            </w:r>
          </w:p>
        </w:tc>
        <w:tc>
          <w:tcPr>
            <w:tcW w:w="540" w:type="dxa"/>
            <w:vAlign w:val="bottom"/>
          </w:tcPr>
          <w:p>
            <w:pPr>
              <w:spacing w:after="0"/>
              <w:rPr>
                <w:sz w:val="17"/>
                <w:szCs w:val="17"/>
                <w:color w:val="auto"/>
              </w:rPr>
            </w:pPr>
          </w:p>
        </w:tc>
        <w:tc>
          <w:tcPr>
            <w:tcW w:w="14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June 27,</w:t>
            </w:r>
          </w:p>
        </w:tc>
      </w:tr>
      <w:tr>
        <w:trPr>
          <w:trHeight w:val="241"/>
        </w:trPr>
        <w:tc>
          <w:tcPr>
            <w:tcW w:w="4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2"/>
        </w:trPr>
        <w:tc>
          <w:tcPr>
            <w:tcW w:w="400" w:type="dxa"/>
            <w:vAlign w:val="bottom"/>
          </w:tcPr>
          <w:p>
            <w:pPr>
              <w:spacing w:after="0"/>
              <w:rPr>
                <w:sz w:val="20"/>
                <w:szCs w:val="20"/>
                <w:color w:val="auto"/>
              </w:rPr>
            </w:pPr>
          </w:p>
        </w:tc>
        <w:tc>
          <w:tcPr>
            <w:tcW w:w="22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40" w:type="dxa"/>
            <w:vAlign w:val="bottom"/>
          </w:tcPr>
          <w:p>
            <w:pPr>
              <w:spacing w:after="0"/>
              <w:rPr>
                <w:sz w:val="20"/>
                <w:szCs w:val="20"/>
                <w:color w:val="auto"/>
              </w:rPr>
            </w:pPr>
          </w:p>
        </w:tc>
      </w:tr>
      <w:tr>
        <w:trPr>
          <w:trHeight w:val="447"/>
        </w:trPr>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0"/>
        </w:trPr>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4"/>
        </w:trPr>
        <w:tc>
          <w:tcPr>
            <w:tcW w:w="4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-770890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-479425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-187960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-925195</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2200" w:space="480"/>
            <w:col w:w="8560"/>
          </w:cols>
          <w:pgMar w:left="320" w:top="121" w:right="339" w:bottom="1440" w:gutter="0" w:footer="0" w:header="0"/>
        </w:sect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connection with, and at the time of, the separation, the Company recorded a $112 million liability to indemnify WDC as a result of the Tax Matters Agreement entered into between the parties in connection with the separation. The indemnification pertains to certain WDC tax positions where the underlying issues are determined to be related to the Company’s business before the spin-off. As WDC receives tax assessments, settles with tax authorities, or when the statute of limitations lapses, the indemnification liabilities will be reassessed and adjusted accordingly. The outstanding balance of the liability as of April 3, 2026 was $131 million.</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121"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Accumulated other comprehensive loss (“AOCL”), net of tax, refers to expenses, gains, and losses that are recorded as an element of equity but are excluded from net income (loss). The components of AOCL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7"/>
                <w:szCs w:val="17"/>
                <w:color w:val="auto"/>
              </w:rPr>
            </w:pPr>
          </w:p>
        </w:tc>
        <w:tc>
          <w:tcPr>
            <w:tcW w:w="16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16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Unrealized Income</w:t>
            </w: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360" w:type="dxa"/>
            <w:vAlign w:val="bottom"/>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rPr>
              <w:t>(Losses) on</w:t>
            </w:r>
          </w:p>
        </w:tc>
        <w:tc>
          <w:tcPr>
            <w:tcW w:w="1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Accumulated</w:t>
            </w:r>
          </w:p>
        </w:tc>
        <w:tc>
          <w:tcPr>
            <w:tcW w:w="0" w:type="dxa"/>
            <w:vAlign w:val="bottom"/>
          </w:tcPr>
          <w:p>
            <w:pPr>
              <w:spacing w:after="0"/>
              <w:rPr>
                <w:sz w:val="1"/>
                <w:szCs w:val="1"/>
                <w:color w:val="auto"/>
              </w:rPr>
            </w:pPr>
          </w:p>
        </w:tc>
      </w:tr>
      <w:tr>
        <w:trPr>
          <w:trHeight w:val="176"/>
        </w:trPr>
        <w:tc>
          <w:tcPr>
            <w:tcW w:w="6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Translation</w:t>
            </w:r>
          </w:p>
        </w:tc>
        <w:tc>
          <w:tcPr>
            <w:tcW w:w="220" w:type="dxa"/>
            <w:vAlign w:val="bottom"/>
          </w:tcPr>
          <w:p>
            <w:pPr>
              <w:spacing w:after="0"/>
              <w:rPr>
                <w:sz w:val="15"/>
                <w:szCs w:val="15"/>
                <w:color w:val="auto"/>
              </w:rPr>
            </w:pPr>
          </w:p>
        </w:tc>
        <w:tc>
          <w:tcPr>
            <w:tcW w:w="140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Derivative</w:t>
            </w:r>
          </w:p>
        </w:tc>
        <w:tc>
          <w:tcPr>
            <w:tcW w:w="1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3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1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27, 2025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related to items of other comprehensive income</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CCEEFF"/>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April 3, 2026</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April 3, 2026, the amounts reclassified out of AOCL were losses related to foreign exchange contracts, substantially all of which were charged to Cost of revenue in the Condensed Consolidated Statements of Operations.</w:t>
      </w:r>
    </w:p>
    <w:p>
      <w:pPr>
        <w:spacing w:after="0" w:line="54"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As of April 3, 2026, substantially all existing net losses related to cash flow hedges recorded in AOCL are expected to be reclassified to earnings within the next twelve months.</w:t>
      </w:r>
    </w:p>
    <w:p>
      <w:pPr>
        <w:spacing w:after="0" w:line="5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Fair Value Measurements and Investments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Carried at Fair Value</w:t>
      </w:r>
    </w:p>
    <w:p>
      <w:pPr>
        <w:spacing w:after="0" w:line="121" w:lineRule="exact"/>
        <w:rPr>
          <w:sz w:val="20"/>
          <w:szCs w:val="20"/>
          <w:color w:val="auto"/>
        </w:rPr>
      </w:pPr>
    </w:p>
    <w:p>
      <w:pPr>
        <w:ind w:right="560" w:firstLine="486"/>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that are remeasured and reported at fair value at each reporting period are classified and disclosed in one of the following three levels:</w:t>
      </w:r>
    </w:p>
    <w:p>
      <w:pPr>
        <w:spacing w:after="0" w:line="52"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Quoted prices in active markets for identical assets or liabilities.</w:t>
      </w:r>
    </w:p>
    <w:p>
      <w:pPr>
        <w:spacing w:after="0" w:line="117" w:lineRule="exact"/>
        <w:rPr>
          <w:sz w:val="20"/>
          <w:szCs w:val="20"/>
          <w:color w:val="auto"/>
        </w:rPr>
      </w:pPr>
    </w:p>
    <w:p>
      <w:pPr>
        <w:ind w:right="18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other than Level 1 that are observable, either directly or indirectly, such as quoted prices for similar assets or liabilities;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in markets that are not active; or other inputs that are observable or can be corroborated by observable market data for substantially the full term of the assets or liabilities.</w:t>
      </w:r>
    </w:p>
    <w:p>
      <w:pPr>
        <w:spacing w:after="0" w:line="65" w:lineRule="exact"/>
        <w:rPr>
          <w:sz w:val="20"/>
          <w:szCs w:val="20"/>
          <w:color w:val="auto"/>
        </w:rPr>
      </w:pPr>
    </w:p>
    <w:p>
      <w:pPr>
        <w:ind w:left="500"/>
        <w:spacing w:after="0"/>
        <w:tabs>
          <w:tab w:leader="none" w:pos="122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8"/>
          <w:szCs w:val="18"/>
          <w:color w:val="auto"/>
        </w:rPr>
        <w:t>Inputs that are unobservable for the asset or liability and that are significant to the fair value of the assets or liabilities.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instruments that were measured at fair value on a recurring basis for the periods presented and indicate the fair value hierarchy of the valuation techniques utilized to determine such values: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April 3, 2026</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5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contracts (included in Other current assets)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5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contracts (included in Accrued expenses)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52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-1242695</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-1242695</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-1242695</wp:posOffset>
            </wp:positionV>
            <wp:extent cx="596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27, 2025</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16"/>
        </w:trPr>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18"/>
                <w:szCs w:val="18"/>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52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i w:val="1"/>
                <w:iCs w:val="1"/>
                <w:color w:val="auto"/>
                <w:w w:val="99"/>
              </w:rPr>
              <w:t>(in millions)</w:t>
            </w: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1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contracts (included in Other current assets)</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5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contracts (included in Accrued expenses)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8"/>
        </w:trPr>
        <w:tc>
          <w:tcPr>
            <w:tcW w:w="52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660" w:firstLine="486"/>
        <w:spacing w:after="0" w:line="282" w:lineRule="auto"/>
        <w:rPr>
          <w:sz w:val="20"/>
          <w:szCs w:val="20"/>
          <w:color w:val="auto"/>
        </w:rPr>
      </w:pPr>
      <w:r>
        <w:rPr>
          <w:rFonts w:ascii="Times New Roman" w:cs="Times New Roman" w:eastAsia="Times New Roman" w:hAnsi="Times New Roman"/>
          <w:sz w:val="18"/>
          <w:szCs w:val="18"/>
          <w:color w:val="auto"/>
        </w:rPr>
        <w:t>During the periods presented, the Company had no transfers of financial instruments between levels, and there were no changes in valuation techniques or the inputs used in the fair value measurement.</w:t>
      </w:r>
    </w:p>
    <w:p>
      <w:pPr>
        <w:spacing w:after="0" w:line="5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Derivative Instruments and Hedging Activities</w:t>
      </w:r>
    </w:p>
    <w:p>
      <w:pPr>
        <w:spacing w:after="0" w:line="121" w:lineRule="exact"/>
        <w:rPr>
          <w:sz w:val="20"/>
          <w:szCs w:val="20"/>
          <w:color w:val="auto"/>
        </w:rPr>
      </w:pPr>
    </w:p>
    <w:p>
      <w:pPr>
        <w:jc w:val="both"/>
        <w:ind w:right="60" w:firstLine="486"/>
        <w:spacing w:after="0" w:line="282" w:lineRule="auto"/>
        <w:rPr>
          <w:sz w:val="20"/>
          <w:szCs w:val="20"/>
          <w:color w:val="auto"/>
        </w:rPr>
      </w:pPr>
      <w:r>
        <w:rPr>
          <w:rFonts w:ascii="Times New Roman" w:cs="Times New Roman" w:eastAsia="Times New Roman" w:hAnsi="Times New Roman"/>
          <w:sz w:val="18"/>
          <w:szCs w:val="18"/>
          <w:color w:val="auto"/>
        </w:rPr>
        <w:t>As of April 3, 2026, the Company had outstanding foreign exchange forward contracts that were designated as non-designated hedges. Substantially all of the contract maturity dates of these foreign exchange forward contracts do not exceed twelve months.</w:t>
      </w:r>
    </w:p>
    <w:p>
      <w:pPr>
        <w:spacing w:after="0" w:line="54" w:lineRule="exact"/>
        <w:rPr>
          <w:sz w:val="20"/>
          <w:szCs w:val="20"/>
          <w:color w:val="auto"/>
        </w:rPr>
      </w:pPr>
    </w:p>
    <w:p>
      <w:pPr>
        <w:jc w:val="both"/>
        <w:ind w:right="60" w:firstLine="486"/>
        <w:spacing w:after="0" w:line="272" w:lineRule="auto"/>
        <w:rPr>
          <w:sz w:val="20"/>
          <w:szCs w:val="20"/>
          <w:color w:val="auto"/>
        </w:rPr>
      </w:pPr>
      <w:r>
        <w:rPr>
          <w:rFonts w:ascii="Times New Roman" w:cs="Times New Roman" w:eastAsia="Times New Roman" w:hAnsi="Times New Roman"/>
          <w:sz w:val="17"/>
          <w:szCs w:val="17"/>
          <w:color w:val="auto"/>
        </w:rPr>
        <w:t>Changes in the fair values of any non-designated foreign exchange contracts are recognized in Other income (expense), net, and are largely offset by corresponding changes in the fair values of the foreign currency-denominated monetary assets and liabilities. For the three months ended April 3, 2026 and March 28, 2025, total net realized and unrealized transactions and foreign exchange contracts were a $2 million loss and an $8 million gain, respectively.</w:t>
      </w:r>
    </w:p>
    <w:p>
      <w:pPr>
        <w:spacing w:after="0" w:line="2"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For the nine months ended April 3, 2026 and March 28, 2025, total net realized and unrealized transactions and foreign exchange contracts were losses of $11 million and $17 million, respectively.</w:t>
      </w:r>
    </w:p>
    <w:p>
      <w:pPr>
        <w:spacing w:after="0" w:line="73"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 xml:space="preserve">Unrealized gains or losses on any designated cash flow hedges are recognized in AOCL. For more information regarding cash flow hedges, see Note 5, </w:t>
      </w:r>
      <w:r>
        <w:rPr>
          <w:rFonts w:ascii="Times New Roman" w:cs="Times New Roman" w:eastAsia="Times New Roman" w:hAnsi="Times New Roman"/>
          <w:sz w:val="18"/>
          <w:szCs w:val="18"/>
          <w:i w:val="1"/>
          <w:iCs w:val="1"/>
          <w:color w:val="auto"/>
        </w:rPr>
        <w:t>Supplemental Financial Statement Data—Accumulated other comprehensive loss</w:t>
      </w:r>
      <w:r>
        <w:rPr>
          <w:rFonts w:ascii="Times New Roman" w:cs="Times New Roman" w:eastAsia="Times New Roman" w:hAnsi="Times New Roman"/>
          <w:sz w:val="18"/>
          <w:szCs w:val="18"/>
          <w:color w:val="auto"/>
        </w:rPr>
        <w:t xml:space="preserve"> for additional disclosures.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121" w:right="339" w:bottom="1440" w:gutter="0" w:footer="0" w:header="0"/>
        </w:sectPr>
      </w:pPr>
    </w:p>
    <w:p>
      <w:pPr>
        <w:spacing w:after="0" w:line="33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8.</w:t>
        <w:tab/>
        <w:t>Debt</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Loan Agreement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Variable interest rate Term Loan Facility maturing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$1.5B Revolving Credit Facility maturing 2030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176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April 3,</w:t>
            </w: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June 27,</w:t>
            </w:r>
          </w:p>
        </w:tc>
      </w:tr>
      <w:tr>
        <w:trPr>
          <w:trHeight w:val="241"/>
        </w:trPr>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0"/>
        </w:trPr>
        <w:tc>
          <w:tcPr>
            <w:tcW w:w="280" w:type="dxa"/>
            <w:vAlign w:val="bottom"/>
          </w:tcPr>
          <w:p>
            <w:pPr>
              <w:spacing w:after="0"/>
              <w:rPr>
                <w:sz w:val="19"/>
                <w:szCs w:val="19"/>
                <w:color w:val="auto"/>
              </w:rPr>
            </w:pPr>
          </w:p>
        </w:tc>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00" w:type="dxa"/>
            <w:vAlign w:val="bottom"/>
          </w:tcPr>
          <w:p>
            <w:pPr>
              <w:spacing w:after="0"/>
              <w:rPr>
                <w:sz w:val="19"/>
                <w:szCs w:val="19"/>
                <w:color w:val="auto"/>
              </w:rPr>
            </w:pPr>
          </w:p>
        </w:tc>
      </w:tr>
      <w:tr>
        <w:trPr>
          <w:trHeight w:val="234"/>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r>
      <w:tr>
        <w:trPr>
          <w:trHeight w:val="335"/>
        </w:trPr>
        <w:tc>
          <w:tcPr>
            <w:tcW w:w="280" w:type="dxa"/>
            <w:vAlign w:val="bottom"/>
          </w:tcPr>
          <w:p>
            <w:pPr>
              <w:spacing w:after="0"/>
              <w:rPr>
                <w:sz w:val="24"/>
                <w:szCs w:val="24"/>
                <w:color w:val="auto"/>
              </w:rPr>
            </w:pPr>
          </w:p>
        </w:tc>
        <w:tc>
          <w:tcPr>
            <w:tcW w:w="17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 w:lineRule="exact"/>
        <w:rPr>
          <w:sz w:val="20"/>
          <w:szCs w:val="20"/>
          <w:color w:val="auto"/>
        </w:rPr>
      </w:pPr>
    </w:p>
    <w:p>
      <w:pPr>
        <w:sectPr>
          <w:pgSz w:w="11900" w:h="16838" w:orient="portrait"/>
          <w:cols w:equalWidth="0" w:num="2">
            <w:col w:w="7380" w:space="720"/>
            <w:col w:w="31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81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6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issuance costs</w:t>
            </w:r>
          </w:p>
        </w:tc>
        <w:tc>
          <w:tcPr>
            <w:tcW w:w="680" w:type="dxa"/>
            <w:vAlign w:val="bottom"/>
          </w:tcPr>
          <w:p>
            <w:pPr>
              <w:spacing w:after="0"/>
              <w:rPr>
                <w:sz w:val="19"/>
                <w:szCs w:val="19"/>
                <w:color w:val="auto"/>
              </w:rPr>
            </w:pPr>
          </w:p>
        </w:tc>
        <w:tc>
          <w:tcPr>
            <w:tcW w:w="15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81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w:t>
            </w:r>
          </w:p>
        </w:tc>
        <w:tc>
          <w:tcPr>
            <w:tcW w:w="6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680" w:type="dxa"/>
            <w:vAlign w:val="bottom"/>
          </w:tcPr>
          <w:p>
            <w:pPr>
              <w:spacing w:after="0"/>
              <w:rPr>
                <w:sz w:val="19"/>
                <w:szCs w:val="19"/>
                <w:color w:val="auto"/>
              </w:rPr>
            </w:pPr>
          </w:p>
        </w:tc>
        <w:tc>
          <w:tcPr>
            <w:tcW w:w="15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8"/>
        </w:trPr>
        <w:tc>
          <w:tcPr>
            <w:tcW w:w="81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 term debt</w:t>
            </w: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On February 21, 2025, the Company entered into a Loan Agreement (the “Loan Agreement”) by and among the Company, the lenders party thereto, JPMorgan Chase Bank, N.A., as administrative agent and collateral agent, and the other parties party thereto. The Loan Agreement comprised a term loan B facility in the principal amount of $2.0 billion (the “Term Loan Facility”) and a revolving credit facility in the principal amount of $1.5 billion (the “Revolving Credit Facility” and together with the Term Loan Facility, the “Facilities”).</w:t>
      </w:r>
    </w:p>
    <w:p>
      <w:pPr>
        <w:spacing w:after="0" w:line="7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obligations under the Loan Agreement are guaranteed by the Company’s wholly-owned subsidiary, Sandisk Technologies, Inc. (“SDT”), and are required to be guaranteed by any of the Company’s future material U.S. wholly-owned subsidiaries, subject to certain exceptions outlined in the Loan Agreement. The obligations under the Loan Agreement are secured by the Company’s assets and SDT’s assets and are required to be secured by the assets of any of the Company’s future material U.S. wholly-owned subsidiaries, subject, in each case, to certain exceptions outlined in the Loan Agreement.</w:t>
      </w:r>
    </w:p>
    <w:p>
      <w:pPr>
        <w:spacing w:after="0" w:line="72"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Loan Agreement includes certain restrictions (subject to certain exceptions outlined in the Loan Agreement) on the ability of the Company and its subsidiaries to undertake certain activities, including to incur indebtedness and liens, merge or consolidate with other entities, dispose of or transfer their assets, pay dividends or make distributions, make investments, make payments on junior or subordinated debt, enter into burdensome agreements, or transact with affiliates. The Loan Agreement also includes a financial covenant, which is solely for the benefit of the lenders under the Revolving Credit Facility, that prohibits the Company from exceeding a maximum Leverage Ratio (as defined in the Loan Agreement).</w:t>
      </w:r>
    </w:p>
    <w:p>
      <w:pPr>
        <w:spacing w:after="0" w:line="75"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On February 21, 2025, the Company borrowed $2.0 billion under its Term Loan Facility. The Company used a portion of the proceeds of the borrowing to make a net distribution payment of $1.5 billion to WDC, with the remainder to be used for general corporate purposes of the Company. The Revolving Credit Facility may be borrowed by the Company from time to time for general corporate purposes.</w:t>
      </w:r>
    </w:p>
    <w:p>
      <w:pPr>
        <w:spacing w:after="0" w:line="68" w:lineRule="exact"/>
        <w:rPr>
          <w:sz w:val="20"/>
          <w:szCs w:val="20"/>
          <w:color w:val="auto"/>
        </w:rPr>
      </w:pPr>
    </w:p>
    <w:p>
      <w:pPr>
        <w:ind w:right="40" w:firstLine="486"/>
        <w:spacing w:after="0" w:line="312" w:lineRule="auto"/>
        <w:rPr>
          <w:sz w:val="20"/>
          <w:szCs w:val="20"/>
          <w:color w:val="auto"/>
        </w:rPr>
      </w:pPr>
      <w:r>
        <w:rPr>
          <w:rFonts w:ascii="Times New Roman" w:cs="Times New Roman" w:eastAsia="Times New Roman" w:hAnsi="Times New Roman"/>
          <w:sz w:val="17"/>
          <w:szCs w:val="17"/>
          <w:color w:val="auto"/>
        </w:rPr>
        <w:t>In connection with the Loan Agreement, the Company and SDT entered into a security agreement to secure the obligations under the Facilities on a first-priority basis (subject to permitted liens) by a lien on substantially all the assets and properties of the Company and SDT, subject to certain exceptions.</w:t>
      </w:r>
    </w:p>
    <w:p>
      <w:pPr>
        <w:spacing w:after="0" w:line="32"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Loan Agreement, the Company (solely with respect to obligations of any additional Borrower under the Loan Agreement) and SDT entered into a guaranty agreement to secure and unconditionally guarantee the obligations under the Loan Agreement, respectively, in each case, subject to certain exceptions.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The Term Loan Facility bore interest, at the Company’s option, at (x) the Adjusted Term SOFR Rate (as defined in the Loan Agreement) plus an interest rate margin of 3.00% per annum or (y) a base rate plus an interest rate margin of 2.00% per annum.</w:t>
      </w:r>
    </w:p>
    <w:p>
      <w:pPr>
        <w:spacing w:after="0" w:line="54"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outstanding principal balance of the Term Loan Facility was required to be repaid in quarterly installments that began on June 27, 2025, in an aggregate amount equal to 0.25% of the aggregate principal amount of the Term Loan Facility. A final payment comprised of all principal and interest was due and payable at maturity on February 20, 2032.</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On March 4, 2026, the Company settled in full the remaining principal amounts due on the Term Loan Facility, plus accrued interest, using cash on hand. In connection with the early settlement of the Term Loan Facility, the Company recognized a loss on debt extinguishment of $46 million resulting from the write-off of the remaining unamortized issuance costs at settlement.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Borrowings under the Revolving Credit Facility, for U.S. dollar borrowings, will bear interest, at the Company’s option, at (x) the Adjusted Term SOFR Rate (as defined in the Loan Agreement), which rate includes a credit spread adjustment of 0.10%, plus an interest rate margin of 2.00% per annum (subject to step-ups based on the Company’s Leverage Ratio (as defined in the Loan Agreement)), or (y) a base rate plus an interest rate margin of 1.00% per annum (subject to step-ups based on the Company’s Leverage Ratio (as defined in the Loan Agreement)). The Company pays a commitment fee of 0.30% per annum (subject to step-ups based on the Company’s Leverage Ratio (as defined in the Loan Agreement)) in respect of undrawn revolving commitments under the Revolving Credit Facility. The Revolving Credit Facility will also provide for borrowings in Euros, Japanese yen, and additional currencies agreed to by the lenders under the Revolving Credit Facility. The Revolving Credit Facility will mature on February 21, 2030, at which time the commitments thereunder shall be terminated and will not have any amortization.</w:t>
      </w:r>
    </w:p>
    <w:p>
      <w:pPr>
        <w:spacing w:after="0" w:line="8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In connection with the establishment of the Revolving Credit Facility, the Company recognized deferred costs, classified as Other non-current assets of $8 million, which are amortized to Interest expense over the life of the facility.</w:t>
      </w:r>
    </w:p>
    <w:p>
      <w:pPr>
        <w:spacing w:after="0" w:line="54" w:lineRule="exact"/>
        <w:rPr>
          <w:sz w:val="20"/>
          <w:szCs w:val="20"/>
          <w:color w:val="auto"/>
        </w:rPr>
      </w:pPr>
    </w:p>
    <w:p>
      <w:pPr>
        <w:ind w:right="460" w:firstLine="486"/>
        <w:spacing w:after="0" w:line="266" w:lineRule="auto"/>
        <w:rPr>
          <w:sz w:val="20"/>
          <w:szCs w:val="20"/>
          <w:color w:val="auto"/>
        </w:rPr>
      </w:pPr>
      <w:r>
        <w:rPr>
          <w:rFonts w:ascii="Times New Roman" w:cs="Times New Roman" w:eastAsia="Times New Roman" w:hAnsi="Times New Roman"/>
          <w:sz w:val="18"/>
          <w:szCs w:val="18"/>
          <w:color w:val="auto"/>
        </w:rPr>
        <w:t>The Loan Agreement also includes a financial covenant, which is solely for the benefit of the lenders under the Revolving Credit Facility, that prohibits the Company from exceeding a maximum Leverage Ratio (as defined in the Loan Agreement). As of April 3, 2026, the Company was in compliance with the financial covenant.</w:t>
      </w:r>
    </w:p>
    <w:p>
      <w:pPr>
        <w:spacing w:after="0" w:line="68"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As of April 3, 2026, the Company had no outstanding standby letters of credit, and the available capacity under the Revolving Credit Facility was $1.5 billion.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and amortization of issuance costs</w:t>
      </w:r>
    </w:p>
    <w:p>
      <w:pPr>
        <w:spacing w:after="0" w:line="119"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April 3, 2026, interest expense was $4 million and amortization of issuance costs was $2 million. For the nine months ended April 3, 2026, interest expense was $63 million and amortization of issuance costs was $6 million. For the three and nine months ended March 28, 2025, interest expense was $15 million and amortization of issuance costs was $1 million.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9.</w:t>
        <w:tab/>
        <w:t>Segment Reporting</w:t>
      </w:r>
    </w:p>
    <w:p>
      <w:pPr>
        <w:spacing w:after="0" w:line="121"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revenue, segment cost of revenue, significant segment expenses, and other segment items that are reflected in operating income (loss) of the Company’s reportable operating segment under its internal management reporting system, along with a reconciliation to consolidated net income (loss). This presentation aligns with how the CODM reviews financial information, using both operating income (loss) and net income (loss) to evaluate performance and allocate resources.</w:t>
      </w:r>
    </w:p>
    <w:p>
      <w:pPr>
        <w:spacing w:after="0" w:line="72"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auto"/>
        </w:rPr>
        <w:t>In the financial information presented below, Segment cost of revenue, Segment research and development and Segment selling, general and administrative consist of Cost of revenue, Research and development and Selling, general and administrative, respectively, as reported in the Company’s Condensed Consolidated Statement of Operations, less stock-based compensation costs allocated to those captions. Additional significant segment expenses include Stock-based compensation and Goodwill impairment. Other segment items includes Loss on debt extinguishment, Business separation costs, Employee termination and other, Loss on business divestiture, and in past comparative periods, Gain on business divestiture.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5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60"/>
              <w:spacing w:after="0" w:line="169" w:lineRule="exact"/>
              <w:rPr>
                <w:sz w:val="20"/>
                <w:szCs w:val="20"/>
                <w:color w:val="auto"/>
              </w:rPr>
            </w:pPr>
            <w:r>
              <w:rPr>
                <w:rFonts w:ascii="Times New Roman" w:cs="Times New Roman" w:eastAsia="Times New Roman" w:hAnsi="Times New Roman"/>
                <w:sz w:val="18"/>
                <w:szCs w:val="18"/>
                <w:b w:val="1"/>
                <w:bCs w:val="1"/>
                <w:color w:val="auto"/>
              </w:rPr>
              <w:t>April 3,</w:t>
            </w:r>
          </w:p>
        </w:tc>
        <w:tc>
          <w:tcPr>
            <w:tcW w:w="220" w:type="dxa"/>
            <w:vAlign w:val="bottom"/>
          </w:tcPr>
          <w:p>
            <w:pPr>
              <w:spacing w:after="0"/>
              <w:rPr>
                <w:sz w:val="14"/>
                <w:szCs w:val="14"/>
                <w:color w:val="auto"/>
              </w:rPr>
            </w:pPr>
          </w:p>
        </w:tc>
        <w:tc>
          <w:tcPr>
            <w:tcW w:w="130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420" w:type="dxa"/>
            <w:vAlign w:val="bottom"/>
          </w:tcPr>
          <w:p>
            <w:pPr>
              <w:spacing w:after="0"/>
              <w:rPr>
                <w:sz w:val="14"/>
                <w:szCs w:val="14"/>
                <w:color w:val="auto"/>
              </w:rPr>
            </w:pPr>
          </w:p>
        </w:tc>
        <w:tc>
          <w:tcPr>
            <w:tcW w:w="11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April 3,</w:t>
            </w:r>
          </w:p>
        </w:tc>
        <w:tc>
          <w:tcPr>
            <w:tcW w:w="220" w:type="dxa"/>
            <w:vAlign w:val="bottom"/>
          </w:tcPr>
          <w:p>
            <w:pPr>
              <w:spacing w:after="0"/>
              <w:rPr>
                <w:sz w:val="14"/>
                <w:szCs w:val="14"/>
                <w:color w:val="auto"/>
              </w:rPr>
            </w:pPr>
          </w:p>
        </w:tc>
        <w:tc>
          <w:tcPr>
            <w:tcW w:w="122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r>
      <w:tr>
        <w:trPr>
          <w:trHeight w:val="241"/>
        </w:trPr>
        <w:tc>
          <w:tcPr>
            <w:tcW w:w="5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5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cost of revenue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research and development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selling, general and administrative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and other income (expense),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48"/>
        </w:trPr>
        <w:tc>
          <w:tcPr>
            <w:tcW w:w="5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Related Parties and Related Commitments and Contingencies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Flash Ventures</w:t>
      </w:r>
    </w:p>
    <w:p>
      <w:pPr>
        <w:spacing w:after="0" w:line="121" w:lineRule="exact"/>
        <w:rPr>
          <w:sz w:val="20"/>
          <w:szCs w:val="20"/>
          <w:color w:val="auto"/>
        </w:rPr>
      </w:pPr>
    </w:p>
    <w:p>
      <w:pPr>
        <w:ind w:right="360" w:firstLine="486"/>
        <w:spacing w:after="0" w:line="266" w:lineRule="auto"/>
        <w:rPr>
          <w:sz w:val="20"/>
          <w:szCs w:val="20"/>
          <w:color w:val="auto"/>
        </w:rPr>
      </w:pPr>
      <w:r>
        <w:rPr>
          <w:rFonts w:ascii="Times New Roman" w:cs="Times New Roman" w:eastAsia="Times New Roman" w:hAnsi="Times New Roman"/>
          <w:sz w:val="18"/>
          <w:szCs w:val="18"/>
          <w:color w:val="auto"/>
        </w:rPr>
        <w:t>The Company procures substantially all of its flash-based memory wafers from its business ventures with Kioxia Corporation (“Kioxia”), which consists of three separate legal entities: Flash Partners Ltd. (“Flash Partners”), Flash Alliance Ltd. (“Flash Alliance”) and Flash Forward Ltd. (“Flash Forward”), collectively referred to as “Flash Ventures.”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notes receivable from, and equity investments in, Flash Ventures for the periods presented: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tcPr>
          <w:p>
            <w:pPr>
              <w:spacing w:after="0"/>
              <w:rPr>
                <w:sz w:val="17"/>
                <w:szCs w:val="17"/>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April 3,</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June 27,</w:t>
            </w:r>
          </w:p>
        </w:tc>
      </w:tr>
      <w:tr>
        <w:trPr>
          <w:trHeight w:val="241"/>
        </w:trPr>
        <w:tc>
          <w:tcPr>
            <w:tcW w:w="7200" w:type="dxa"/>
            <w:vAlign w:val="bottom"/>
          </w:tcPr>
          <w:p>
            <w:pPr>
              <w:spacing w:after="0"/>
              <w:rPr>
                <w:sz w:val="20"/>
                <w:szCs w:val="20"/>
                <w:color w:val="auto"/>
              </w:rPr>
            </w:pPr>
          </w:p>
        </w:tc>
        <w:tc>
          <w:tcPr>
            <w:tcW w:w="1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7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40" w:type="dxa"/>
            <w:vAlign w:val="bottom"/>
          </w:tcPr>
          <w:p>
            <w:pPr>
              <w:spacing w:after="0"/>
              <w:rPr>
                <w:sz w:val="19"/>
                <w:szCs w:val="19"/>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Flash Partners</w:t>
            </w:r>
          </w:p>
        </w:tc>
        <w:tc>
          <w:tcPr>
            <w:tcW w:w="144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Flash Alliance</w:t>
            </w:r>
          </w:p>
        </w:tc>
        <w:tc>
          <w:tcPr>
            <w:tcW w:w="1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Flash Forward</w:t>
            </w:r>
          </w:p>
        </w:tc>
        <w:tc>
          <w:tcPr>
            <w:tcW w:w="14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Flash Partners</w:t>
            </w:r>
          </w:p>
        </w:tc>
        <w:tc>
          <w:tcPr>
            <w:tcW w:w="1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Flash Alliance</w:t>
            </w:r>
          </w:p>
        </w:tc>
        <w:tc>
          <w:tcPr>
            <w:tcW w:w="14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 in Flash Forward</w:t>
            </w:r>
          </w:p>
        </w:tc>
        <w:tc>
          <w:tcPr>
            <w:tcW w:w="14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48"/>
        </w:trPr>
        <w:tc>
          <w:tcPr>
            <w:tcW w:w="7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notes receivable and investments in Flash Ventures</w:t>
            </w:r>
          </w:p>
        </w:tc>
        <w:tc>
          <w:tcPr>
            <w:tcW w:w="1440" w:type="dxa"/>
            <w:vAlign w:val="bottom"/>
            <w:tcBorders>
              <w:bottom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-1216660</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April 3, 2026, the Company made net payments to Flash Ventures of $0.9 billion and $2.7 billion, respectively, for purchases of flash-based memory wafers and net loans. During the three and nine months ended March 28, 2025, the Company made net payments to Flash Ventures of $0.9 billion and $2.9 billion, respectively, for purchases of flash-based memory wafers and net loans. In addition, during the nine months ended April 3, 2026, the Company received a $15 million dividend distribution from Flash Ventures.</w:t>
      </w:r>
    </w:p>
    <w:p>
      <w:pPr>
        <w:spacing w:after="0" w:line="72" w:lineRule="exact"/>
        <w:rPr>
          <w:sz w:val="20"/>
          <w:szCs w:val="20"/>
          <w:color w:val="auto"/>
        </w:rPr>
      </w:pPr>
    </w:p>
    <w:p>
      <w:pPr>
        <w:ind w:right="100" w:firstLine="486"/>
        <w:spacing w:after="0" w:line="281" w:lineRule="auto"/>
        <w:rPr>
          <w:sz w:val="20"/>
          <w:szCs w:val="20"/>
          <w:color w:val="auto"/>
        </w:rPr>
      </w:pPr>
      <w:r>
        <w:rPr>
          <w:rFonts w:ascii="Times New Roman" w:cs="Times New Roman" w:eastAsia="Times New Roman" w:hAnsi="Times New Roman"/>
          <w:sz w:val="17"/>
          <w:szCs w:val="17"/>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Ventures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56" w:lineRule="exact"/>
        <w:rPr>
          <w:sz w:val="20"/>
          <w:szCs w:val="20"/>
          <w:color w:val="auto"/>
        </w:rPr>
      </w:pPr>
    </w:p>
    <w:p>
      <w:pPr>
        <w:ind w:right="600" w:firstLine="486"/>
        <w:spacing w:after="0" w:line="282" w:lineRule="auto"/>
        <w:rPr>
          <w:sz w:val="20"/>
          <w:szCs w:val="20"/>
          <w:color w:val="auto"/>
        </w:rPr>
      </w:pPr>
      <w:r>
        <w:rPr>
          <w:rFonts w:ascii="Times New Roman" w:cs="Times New Roman" w:eastAsia="Times New Roman" w:hAnsi="Times New Roman"/>
          <w:sz w:val="18"/>
          <w:szCs w:val="18"/>
          <w:color w:val="auto"/>
        </w:rPr>
        <w:t>As of April 3, 2026 and June 27, 2025, the Company had accounts payable balances due to Flash Ventures of $305 million and $279 million, respectively.</w:t>
      </w:r>
    </w:p>
    <w:p>
      <w:pPr>
        <w:spacing w:after="0" w:line="54"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The Company’s maximum reasonably estimable loss exposure (excluding lost profits) as a result of its involvement with Flash Ventures, based upon the Japanese yen to U.S. dollar exchange rate at April 3, 2026, is presented below. Investments in Flash Ventures are denominated in Japanese yen, and the maximum estimable loss exposure excludes any cumulative translation adjustment due to translation from the Japanese yen to the U.S. dollar.</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April 3,</w:t>
            </w:r>
          </w:p>
        </w:tc>
      </w:tr>
      <w:tr>
        <w:trPr>
          <w:trHeight w:val="241"/>
        </w:trPr>
        <w:tc>
          <w:tcPr>
            <w:tcW w:w="9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2026</w:t>
            </w:r>
          </w:p>
        </w:tc>
      </w:tr>
      <w:tr>
        <w:trPr>
          <w:trHeight w:val="225"/>
        </w:trPr>
        <w:tc>
          <w:tcPr>
            <w:tcW w:w="9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tcPr>
          <w:p>
            <w:pPr>
              <w:jc w:val="center"/>
              <w:ind w:right="230"/>
              <w:spacing w:after="0"/>
              <w:rPr>
                <w:sz w:val="20"/>
                <w:szCs w:val="20"/>
                <w:color w:val="auto"/>
              </w:rPr>
            </w:pPr>
            <w:r>
              <w:rPr>
                <w:rFonts w:ascii="Times New Roman" w:cs="Times New Roman" w:eastAsia="Times New Roman" w:hAnsi="Times New Roman"/>
                <w:sz w:val="18"/>
                <w:szCs w:val="18"/>
                <w:i w:val="1"/>
                <w:iCs w:val="1"/>
                <w:color w:val="auto"/>
                <w:w w:val="99"/>
              </w:rPr>
              <w:t>(in millions)</w:t>
            </w:r>
          </w:p>
        </w:tc>
      </w:tr>
      <w:tr>
        <w:trPr>
          <w:trHeight w:val="22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3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investments</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guarantees</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30"/>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Inventory and prepayments</w:t>
            </w: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48"/>
        </w:trPr>
        <w:tc>
          <w:tcPr>
            <w:tcW w:w="9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Maximum estimable loss exposure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Company is obligated to pay for variable costs incurred by Flash Ventures in producing the Company’s share of Flash Ventures’ flash-based memory wafer supply, based on its rolling three-month forecast. The Company’s share generally equals 50% of Flash Ventures’ output. In addition, the Company is obligated to pay for half of Flash Ventures’ fixed costs regardless of the output the Company chooses to purchase. The Company cannot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capital investments to the extent that the Flash Ventures entity’s operating cash flow is insufficient to fund these investments.</w:t>
      </w:r>
    </w:p>
    <w:p>
      <w:pPr>
        <w:spacing w:after="0" w:line="7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Flash Ventures has historically operated at nearly 100% of its manufacturing capacity. During the nine months ended April 3, 2026, the Company temporarily reduced its utilization of its share of Flash Ventures’ manufacturing capacity. During the nine months ended April 3, 2026 and three and nine months ended March 28, 2025, the Company incurred costs of $11 million and $24 million, respectively, associated with the reduction in utilization related to Flash Ventures, which were recorded as charges to Cost of revenue. No such charges were incurred during the three months ended April 3, 2026.</w:t>
      </w:r>
    </w:p>
    <w:p>
      <w:pPr>
        <w:spacing w:after="0" w:line="72"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The Company has facility agreements with Kioxia related to the construction and operation of Kioxia’s 300-millimeter wafer fabrication facility in Kitakami, Japan, referred to as “K1”, a wafer fabrication facility in Yokkaichi, Japan, referred to as “Y7”, and a wafer fabrication facility in Kitakami, Japan, referred to as “K2”. In connection with the construction of these facilities, the Company makes prepayments toward Kioxia’s future building depreciation. In connection with the start-up of the K1, Y7 and K2 facilities, the Company has made prepayments over time, and as of April 3, 2026, $856 million, with $131 million recorded within Other current assets and $725 million recorded within Other non-current assets in the Condensed Consolidated Balance Sheets, remain to be credited against future building depreciation charges and ultimately released within Cost of revenue when the Company’s inventory is sold. As of April 3, 2026, the Company is also committed to making additional building depreciation prepayments of $373 million, based on the Japanese yen to U.S. dollar exchange rate of ¥159.50 as of such date, payable as follows: $17 million for the remainder of fiscal year 2026, $119 million in fiscal year 2027, $174 million in fiscal year 2028 and $63 million in fiscal year 2029. As of April 3, 2026, in addition to the requirements to make building depreciation prepayments, the Company will also make payments for building depreciation of approximately $104 million at varying dates through fiscal year 2034.</w:t>
      </w:r>
    </w:p>
    <w:p>
      <w:pPr>
        <w:spacing w:after="0" w:line="84"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On January 29, 2026, Sandisk entered into an FAL Second Commitment and Extension Agreement (the “FAL Second Extension Agreement”) by and among Sandisk, Kioxia, SanDisk LLC (“SanDisk LLC”), and SanDisk (Ireland) Limited (“SanDisk Ireland”), under which the parties thereto extended the term of Flash Alliance from December 31, 2029 to December 31, 2034.</w:t>
      </w:r>
    </w:p>
    <w:p>
      <w:pPr>
        <w:spacing w:after="0" w:line="68"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On January 29, 2026, Sandisk entered into an FPL Second Commitment and Extension Agreement (the “FPL Second Extension Agreement”, and together with the FAL Second Extension Agreement, collectively, the “Extension Agreements”) by and among Sandisk, Kioxia, SanDisk LLC, and SanDisk (Cayman) Limited (“SanDisk Cayman”), under which the parties thereto extended the term of Flash Partners from December 31, 2029 to December 31, 2034.</w:t>
      </w:r>
    </w:p>
    <w:p>
      <w:pPr>
        <w:spacing w:after="0" w:line="72"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Following the execution of the Extension Agreements, all three of the joint ventures that comprise the Flash Ventures are scheduled to co-terminate on December 31, 2034.</w:t>
      </w:r>
    </w:p>
    <w:p>
      <w:pPr>
        <w:spacing w:after="0" w:line="54"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Extension Agreements, on January 29, 2026, Sandisk entered into an Agreement to Enhance Collaboration by and among Sandisk, Kioxia, Sandisk Technologies, Inc. (“Sandisk Technologies”), SanDisk LLC, SanDisk Ireland and SanDisk Cayman, under which Sandisk Technologies will make certain payments directly to Kioxia totaling $1.2 billion over the years 2026 through 2029 in consideration of Kioxia’s manufacturing services and the continued availability of supply, from execution through December 31, 2034.</w:t>
      </w:r>
    </w:p>
    <w:p>
      <w:pPr>
        <w:spacing w:after="0" w:line="70"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Inventory Purchase Commitments with Flash Ventures. </w:t>
      </w:r>
      <w:r>
        <w:rPr>
          <w:rFonts w:ascii="Times New Roman" w:cs="Times New Roman" w:eastAsia="Times New Roman" w:hAnsi="Times New Roman"/>
          <w:sz w:val="18"/>
          <w:szCs w:val="18"/>
          <w:color w:val="auto"/>
        </w:rPr>
        <w:t>Purchase orders placed with Flash Ventures for up to three months are binding and cannot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canceled.</w:t>
      </w:r>
    </w:p>
    <w:p>
      <w:pPr>
        <w:spacing w:after="0" w:line="5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Activities. </w:t>
      </w:r>
      <w:r>
        <w:rPr>
          <w:rFonts w:ascii="Times New Roman" w:cs="Times New Roman" w:eastAsia="Times New Roman" w:hAnsi="Times New Roman"/>
          <w:sz w:val="18"/>
          <w:szCs w:val="18"/>
          <w:color w:val="auto"/>
        </w:rPr>
        <w:t>The Company participates in common research and development (“R&amp;D”) activities with Kioxia and is contractually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committed to a minimum funding level. R&amp;D commitments due for the remaining three months of 2026 are $42 million.</w:t>
      </w:r>
    </w:p>
    <w:p>
      <w:pPr>
        <w:spacing w:after="0" w:line="5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Off-Balance Sheet Liabilities. </w:t>
      </w:r>
      <w:r>
        <w:rPr>
          <w:rFonts w:ascii="Times New Roman" w:cs="Times New Roman" w:eastAsia="Times New Roman" w:hAnsi="Times New Roman"/>
          <w:sz w:val="18"/>
          <w:szCs w:val="18"/>
          <w:color w:val="auto"/>
        </w:rPr>
        <w:t>Flash Ventures sells to, and leases back from, a consortium of financial institutions a portion of its tools and has entered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lease agreements of which the Company guarantees half of all of the outstanding obligations under each lease agreement. The lease agreements are subject to customary covenants and cancellation events related to Flash Ventures and each of the guarantors. The occurrence of a cancellation event could result in an acceleration of Flash Ventures’ obligations and a call on the Company’s guarantees.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portion of the remaining guarantee obligations under the Flash Ventures’ lease facilities in both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Japanese yen and U.S. dollar-equivalent, based upon the Japanese yen to U.S. dollar exchange rate as of April 3, 2026:</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3"/>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Lease Amounts</w:t>
            </w:r>
          </w:p>
        </w:tc>
      </w:tr>
      <w:tr>
        <w:trPr>
          <w:trHeight w:val="223"/>
        </w:trPr>
        <w:tc>
          <w:tcPr>
            <w:tcW w:w="7200" w:type="dxa"/>
            <w:vAlign w:val="bottom"/>
          </w:tcPr>
          <w:p>
            <w:pPr>
              <w:spacing w:after="0"/>
              <w:rPr>
                <w:sz w:val="19"/>
                <w:szCs w:val="19"/>
                <w:color w:val="auto"/>
              </w:rPr>
            </w:pPr>
          </w:p>
        </w:tc>
        <w:tc>
          <w:tcPr>
            <w:tcW w:w="202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(Japanese yen, in billions)</w:t>
            </w:r>
          </w:p>
        </w:tc>
        <w:tc>
          <w:tcPr>
            <w:tcW w:w="16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w w:val="97"/>
              </w:rPr>
              <w:t>(U.S. dollar, in millions)</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guarantee obligations</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r>
    </w:tbl>
    <w:p>
      <w:pPr>
        <w:spacing w:after="0" w:line="184"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details the components of the Company’s remaining guarantee obligations between the principal amortization and the purchase option exercise price at the end of the term of the Flash Ventures lease agreements, in annual installments, in U.S. dollars, based upon the Japanese yen to U.S. dollar exchange rate as of April 3, 2026:</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Payment of</w:t>
            </w: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Purchase Option</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52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Exercise Price at</w:t>
            </w:r>
          </w:p>
        </w:tc>
        <w:tc>
          <w:tcPr>
            <w:tcW w:w="220" w:type="dxa"/>
            <w:vAlign w:val="bottom"/>
          </w:tcPr>
          <w:p>
            <w:pPr>
              <w:spacing w:after="0"/>
              <w:rPr>
                <w:sz w:val="15"/>
                <w:szCs w:val="15"/>
                <w:color w:val="auto"/>
              </w:rPr>
            </w:pPr>
          </w:p>
        </w:tc>
        <w:tc>
          <w:tcPr>
            <w:tcW w:w="12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Guarantee</w:t>
            </w:r>
          </w:p>
        </w:tc>
        <w:tc>
          <w:tcPr>
            <w:tcW w:w="0" w:type="dxa"/>
            <w:vAlign w:val="bottom"/>
          </w:tcPr>
          <w:p>
            <w:pPr>
              <w:spacing w:after="0"/>
              <w:rPr>
                <w:sz w:val="1"/>
                <w:szCs w:val="1"/>
                <w:color w:val="auto"/>
              </w:rPr>
            </w:pPr>
          </w:p>
        </w:tc>
      </w:tr>
      <w:tr>
        <w:trPr>
          <w:trHeight w:val="176"/>
        </w:trPr>
        <w:tc>
          <w:tcPr>
            <w:tcW w:w="6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Annual Installments</w:t>
            </w:r>
          </w:p>
        </w:tc>
        <w:tc>
          <w:tcPr>
            <w:tcW w:w="160" w:type="dxa"/>
            <w:vAlign w:val="bottom"/>
          </w:tcPr>
          <w:p>
            <w:pPr>
              <w:spacing w:after="0"/>
              <w:rPr>
                <w:sz w:val="15"/>
                <w:szCs w:val="15"/>
                <w:color w:val="auto"/>
              </w:rPr>
            </w:pPr>
          </w:p>
        </w:tc>
        <w:tc>
          <w:tcPr>
            <w:tcW w:w="13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Principal</w:t>
            </w:r>
          </w:p>
        </w:tc>
        <w:tc>
          <w:tcPr>
            <w:tcW w:w="200" w:type="dxa"/>
            <w:vAlign w:val="bottom"/>
          </w:tcPr>
          <w:p>
            <w:pPr>
              <w:spacing w:after="0"/>
              <w:rPr>
                <w:sz w:val="15"/>
                <w:szCs w:val="15"/>
                <w:color w:val="auto"/>
              </w:rPr>
            </w:pPr>
          </w:p>
        </w:tc>
        <w:tc>
          <w:tcPr>
            <w:tcW w:w="132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Final Lease</w:t>
            </w: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5"/>
              </w:rPr>
              <w:t>Terms</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i w:val="1"/>
                <w:iCs w:val="1"/>
                <w:color w:val="auto"/>
                <w:w w:val="99"/>
              </w:rPr>
              <w:t>(in millions)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guarantee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-1216660</wp:posOffset>
            </wp:positionV>
            <wp:extent cx="603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-1216660</wp:posOffset>
            </wp:positionV>
            <wp:extent cx="603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5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Company and Kioxia have agreed to mutually contribute to and indemnify each other and Flash Ventures for environmental remediation costs or liabilities resulting from Flash Ventures’ manufacturing operations in certain circumstances. The Company has not made any indemnification payments nor recorded any indemnification receivables under any such agreements. As of April 3, 2026, no amounts have been accrued in the Condensed Consolidated Financial Statements with respect to these indemnification agreements.</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Sale of a Majority Interest in a Subsidiary</w:t>
      </w:r>
    </w:p>
    <w:p>
      <w:pPr>
        <w:spacing w:after="0" w:line="121"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In March 2024, SanDisk China Limited (“SanDisk China”), an indirect wholly-owned subsidiary of WDC, entered into an equity purchase agreement to sell 80% of its equity interest in SanDisk Semiconductor (Shanghai) Co. Ltd. (“SDSS”), an indirect wholly-owned subsidiary of WDC which holds one of the Company’s manufacturing facilities, to JCET Management Co., Ltd. (“JCET”), a wholly-owned subsidiary of JCET Group Co., Ltd., a Chinese publicly-listed company, thereby forming a venture between SanDisk China and JCET (the “Transaction”). The venture aims to provide independent semiconductor assembly, testing, and other related services in the People’s Republic of China for customers including, but not limited to, the Company and its affiliates.</w:t>
      </w:r>
    </w:p>
    <w:p>
      <w:pPr>
        <w:spacing w:after="0" w:line="79" w:lineRule="exact"/>
        <w:rPr>
          <w:sz w:val="20"/>
          <w:szCs w:val="20"/>
          <w:color w:val="auto"/>
        </w:rPr>
      </w:pPr>
    </w:p>
    <w:p>
      <w:pPr>
        <w:ind w:right="380" w:firstLine="486"/>
        <w:spacing w:after="0" w:line="261" w:lineRule="auto"/>
        <w:rPr>
          <w:sz w:val="20"/>
          <w:szCs w:val="20"/>
          <w:color w:val="auto"/>
        </w:rPr>
      </w:pPr>
      <w:r>
        <w:rPr>
          <w:rFonts w:ascii="Times New Roman" w:cs="Times New Roman" w:eastAsia="Times New Roman" w:hAnsi="Times New Roman"/>
          <w:sz w:val="18"/>
          <w:szCs w:val="18"/>
          <w:color w:val="auto"/>
        </w:rPr>
        <w:t>The Transaction closed on September 28, 2024, and SanDisk China completed the sale of 80% of its equity interest in SDSS to JCET. The Transaction resulted in a pre-tax gain of $34 million, calculated as the difference between the total consideration for the sale, including the outstanding consideration receivable and the fair value of the Company’s 20% retained interest, less the carrying value of the net assets divested, which included, among other items, $71 million of cash and cash equivalents and $382 million of goodwill that was allocated to SDSS.</w:t>
      </w:r>
    </w:p>
    <w:p>
      <w:pPr>
        <w:spacing w:after="0" w:line="72"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Proceeds from the sale, including working capital adjustments, were $659 million (pre-tax). On October 1, 2024, the Company received an initial pre-tax installment of $262 million. On January 6, 2025, the Company received a second pre-tax installment of $210 million. The remaining $187 million pre-tax proceeds are payable in five equal installments of approximately $37 million on September 28 of each year through September 28, 2029.</w:t>
      </w:r>
    </w:p>
    <w:p>
      <w:pPr>
        <w:spacing w:after="0" w:line="68"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On September 25, 2025, SanDisk China and JCET entered into an Amendment No. 1 to the Amended and Restated Equity Purchase Agreement that included a $10 million provision for working capital support, resulting in a reduction of the September 28, 2025 installment payment from JCET to $27 million. The Company recognized the adjustment as a Loss on business divestiture for the nine months ended April 3, 2026.</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As of April 3, 2026, the outstanding consideration receivable was recognized at its present value of $138 million, with $37 million classified as Other current assets and $101 million classified as Other non-current assets in the Condensed Consolidated Balance Sheets. The remaining present value discount of $13 million as of April 3, 2026 will be recognized using the effective interest method over the next four years as Interest income in the Condensed Consolidated Statements of Operations.</w:t>
      </w:r>
    </w:p>
    <w:p>
      <w:pPr>
        <w:spacing w:after="0" w:line="72"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Company’s 20% retained interest in SDSS was determined to be valued at $158 million based on the fair value of the total pre-tax consideration received and receivable from JCET for its purchase of its 80% interest in SDSS. The Company accounts for its 20% interest in SDSS as an equity method investment within Other non-current assets in the Condensed Consolidated Balance Sheets. The Company’s 20% interest in the earnings of SDSS is recognized one quarter in arrears and is reported in Other income (expense), net in the Condensed Consolidated Statements of Operations. As of April 3, 2026, the 20% retained interest in SDSS was valued at $166 million.</w:t>
      </w:r>
    </w:p>
    <w:p>
      <w:pPr>
        <w:spacing w:after="0" w:line="7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Subsequent to and in connection with the Transaction, Western Digital Technologies, Inc. (“WDT,” a WDC affiliate) entered into a five-year supply agreement with SDSS (the “Supply Agreement”) to purchase certain flash-based products with a minimum annual commitment of $550 million (the “minimum annual commitment”). On January 10, 2025, the Company and WDT entered into an assignment agreement, pursuant to which WDT assigned all of its rights and obligations under the Supply Agreement to the Company. The Supply Agreement contains specific penalties the Company must pay if it fails to meet its minimum annual commitment. The Supply Agreement also provides that if the Company’s purchases exceed the minimum annual commitment in any of the two years immediately succeeding any annual period where a shortfall penalty has been paid, SDSS shall reimburse the Company an amount not exceeding the previously paid penalty amount. The Supply Agreement expires on September 28, 2029, and automatically renews for additional one-year terms unless earlier terminated by either of the parties. The Company also entered into an agreement to grant SDSS certain intellectual property rights on a royalty-free basis for use in manufacturing products on the Company’s behalf for the term of and under the Supply Agreement. For the three and nine months ended April 3, 2026, the Company made purchases of $112 million and $390 million, respectively, under the Supply Agreement. For the three and nine months ended March 28, 2025, the Company made purchases of $108 million and $219 million, respectively, under the Supply Agreement. As of April 3, 2026 and March 28, 2025, the Company had a $130 million and $112 million accounts payable balance due to SDSS, respectively.</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also entered into an arrangement to provide certain transition services for a limited period following the closing of the Transaction.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Charges under this arrangement were not material.</w:t>
      </w:r>
    </w:p>
    <w:p>
      <w:pPr>
        <w:spacing w:after="0" w:line="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Unis Venture</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On January 24, 2025, the Company and WDC entered into an equity transfer agreement (the “Equity Transfer Agreement”) to transfer WDC’s entire equity interest in its venture with Unisplendour Corporation Limited and Unissoft (Wuxi) Group Co. Ltd. (“Unis”), referred to as the “Unis Venture”, to the Company. The Unis Venture is 48% owned by the Company and 52% owned by Unis. The Unis Venture markets and sells the Company’s products in China and develops data storage systems for the Chinese market.</w:t>
      </w:r>
    </w:p>
    <w:p>
      <w:pPr>
        <w:spacing w:after="0" w:line="72"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Prior to the execution of the Equity Transfer Agreement, the Unis Venture was not historically managed as a component of the Company and, as such, the related equity method investment was not reflected within the Company’s Condensed Consolidated Financial Statements. After the execution of the Equity Transfer Agreement, the Company accounts for its investment in the Unis Venture under the equity method of accounting. The Company’s 48% interest in the earnings of the Unis Venture will be recognized one quarter in arrears from the date the Unis Venture was transferred to the Company and will be reported in Other income (expense), net in the Condensed Consolidated Statements of Operations.</w:t>
      </w:r>
    </w:p>
    <w:p>
      <w:pPr>
        <w:spacing w:after="0" w:line="75"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Revenue from products distributed by the Unis Venture is recognized upon sell-through to third-party customers. For the three and nine months ended April 3, 2026, the Company recognized approximately 3% and 2%, respectively, of its condensed consolidated revenue on products distributed by the Unis Venture. For the three and nine months ended March 28, 2025, the Company recognized approximately 1% and 1%, respectively, of its condensed consolidated revenue on products distributed by the Unis Venture. The outstanding accounts receivable due from the Unis Venture were 5% and 1% of Accounts receivable, net, as of April 3, 2026 and June 27, 2025, respectively.</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Separation and Distribution Agreement and Other Related Party Transactions with WDC</w:t>
      </w:r>
    </w:p>
    <w:p>
      <w:pPr>
        <w:spacing w:after="0" w:line="117" w:lineRule="exact"/>
        <w:rPr>
          <w:sz w:val="20"/>
          <w:szCs w:val="20"/>
          <w:color w:val="auto"/>
        </w:rPr>
      </w:pPr>
    </w:p>
    <w:p>
      <w:pPr>
        <w:jc w:val="both"/>
        <w:ind w:right="40" w:firstLine="486"/>
        <w:spacing w:after="0" w:line="315" w:lineRule="auto"/>
        <w:rPr>
          <w:sz w:val="20"/>
          <w:szCs w:val="20"/>
          <w:color w:val="auto"/>
        </w:rPr>
      </w:pPr>
      <w:r>
        <w:rPr>
          <w:rFonts w:ascii="Times New Roman" w:cs="Times New Roman" w:eastAsia="Times New Roman" w:hAnsi="Times New Roman"/>
          <w:sz w:val="17"/>
          <w:szCs w:val="17"/>
          <w:color w:val="auto"/>
        </w:rPr>
        <w:t xml:space="preserve">As described in Note 1, </w:t>
      </w:r>
      <w:r>
        <w:rPr>
          <w:rFonts w:ascii="Times New Roman" w:cs="Times New Roman" w:eastAsia="Times New Roman" w:hAnsi="Times New Roman"/>
          <w:sz w:val="17"/>
          <w:szCs w:val="17"/>
          <w:i w:val="1"/>
          <w:iCs w:val="1"/>
          <w:color w:val="auto"/>
        </w:rPr>
        <w:t>Organization and Basis of Presentation</w:t>
      </w:r>
      <w:r>
        <w:rPr>
          <w:rFonts w:ascii="Times New Roman" w:cs="Times New Roman" w:eastAsia="Times New Roman" w:hAnsi="Times New Roman"/>
          <w:sz w:val="17"/>
          <w:szCs w:val="17"/>
          <w:color w:val="auto"/>
        </w:rPr>
        <w:t>, on February 21, 2025, in connection with the separation, the Company entered into several agreements that provide a framework for Sandisk’s relationship with WDC after the separation. These include, but are not limited to, the following:</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0" w:lineRule="exact"/>
        <w:rPr>
          <w:sz w:val="20"/>
          <w:szCs w:val="20"/>
          <w:color w:val="auto"/>
        </w:rPr>
      </w:pPr>
    </w:p>
    <w:p>
      <w:pPr>
        <w:ind w:left="660" w:right="58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Separation and Distribution Agreement </w:t>
      </w:r>
      <w:r>
        <w:rPr>
          <w:rFonts w:ascii="Times New Roman" w:cs="Times New Roman" w:eastAsia="Times New Roman" w:hAnsi="Times New Roman"/>
          <w:sz w:val="18"/>
          <w:szCs w:val="18"/>
          <w:color w:val="auto"/>
        </w:rPr>
        <w:t>- The separation and distribution agreement contains key provisions related to the separation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from WDC, including the transfer of assets and assumptions of liabilities. In connection with this agreement, certain assets and liabilities included in the Company’s Condensed Consolidated Balance Sheets were retained by WDC and certain assets and liabilities not included in the Company’s Condensed Consolidated Balance Sheets were transferred to the Company as of the date of the separation.</w:t>
      </w:r>
    </w:p>
    <w:p>
      <w:pPr>
        <w:spacing w:after="0" w:line="73" w:lineRule="exact"/>
        <w:rPr>
          <w:rFonts w:ascii="Times New Roman" w:cs="Times New Roman" w:eastAsia="Times New Roman" w:hAnsi="Times New Roman"/>
          <w:sz w:val="18"/>
          <w:szCs w:val="18"/>
          <w:color w:val="auto"/>
        </w:rPr>
      </w:pPr>
    </w:p>
    <w:p>
      <w:pPr>
        <w:ind w:left="660" w:right="2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quarter end April 3, 2026, the separation between the Company and WDC has been finalized, and no separation-related adjustments have been, or are expected to be, incurred going forward.</w:t>
      </w:r>
    </w:p>
    <w:p>
      <w:pPr>
        <w:spacing w:after="0" w:line="51" w:lineRule="exact"/>
        <w:rPr>
          <w:rFonts w:ascii="Times New Roman" w:cs="Times New Roman" w:eastAsia="Times New Roman" w:hAnsi="Times New Roman"/>
          <w:sz w:val="18"/>
          <w:szCs w:val="18"/>
          <w:color w:val="auto"/>
        </w:rPr>
      </w:pPr>
    </w:p>
    <w:p>
      <w:pPr>
        <w:ind w:left="660" w:right="28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Employee Matters Agreement - </w:t>
      </w:r>
      <w:r>
        <w:rPr>
          <w:rFonts w:ascii="Times New Roman" w:cs="Times New Roman" w:eastAsia="Times New Roman" w:hAnsi="Times New Roman"/>
          <w:sz w:val="18"/>
          <w:szCs w:val="18"/>
          <w:color w:val="auto"/>
        </w:rPr>
        <w:t>The Employee Matters Agreement allocates liabilities and responsibilities relating to employment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compensation and benefit plans and programs and other related matters. Pursuant to this agreement, during the nine months ended April 3, 2026, the Company received reimbursement of short-term employee incentives totaling $22 million from WDC. The Company did not receive any reimbursements from this agreement for the three months ended April 3, 2026.</w:t>
      </w:r>
    </w:p>
    <w:p>
      <w:pPr>
        <w:spacing w:after="0" w:line="71" w:lineRule="exact"/>
        <w:rPr>
          <w:rFonts w:ascii="Times New Roman" w:cs="Times New Roman" w:eastAsia="Times New Roman" w:hAnsi="Times New Roman"/>
          <w:sz w:val="18"/>
          <w:szCs w:val="18"/>
          <w:color w:val="auto"/>
        </w:rPr>
      </w:pPr>
    </w:p>
    <w:p>
      <w:pPr>
        <w:ind w:left="660" w:right="120" w:hanging="328"/>
        <w:spacing w:after="0" w:line="28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Transition Services Agreement - </w:t>
      </w:r>
      <w:r>
        <w:rPr>
          <w:rFonts w:ascii="Times New Roman" w:cs="Times New Roman" w:eastAsia="Times New Roman" w:hAnsi="Times New Roman"/>
          <w:sz w:val="18"/>
          <w:szCs w:val="18"/>
          <w:color w:val="auto"/>
        </w:rPr>
        <w:t>The Transition Services Agreement governs the provision of transition services from WDC to Sandisk, and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Sandisk to WDC and its affiliates, on an interim, transitional basis following the separation.</w:t>
      </w:r>
    </w:p>
    <w:p>
      <w:pPr>
        <w:spacing w:after="0" w:line="50" w:lineRule="exact"/>
        <w:rPr>
          <w:rFonts w:ascii="Times New Roman" w:cs="Times New Roman" w:eastAsia="Times New Roman" w:hAnsi="Times New Roman"/>
          <w:sz w:val="18"/>
          <w:szCs w:val="18"/>
          <w:color w:val="auto"/>
        </w:rPr>
      </w:pPr>
    </w:p>
    <w:p>
      <w:pPr>
        <w:ind w:left="660" w:right="16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Matters Agreement - </w:t>
      </w:r>
      <w:r>
        <w:rPr>
          <w:rFonts w:ascii="Times New Roman" w:cs="Times New Roman" w:eastAsia="Times New Roman" w:hAnsi="Times New Roman"/>
          <w:sz w:val="18"/>
          <w:szCs w:val="18"/>
          <w:color w:val="auto"/>
        </w:rPr>
        <w:t>The Tax Matters Agreement governs, among other things, WDC’s and the Company’s respective rights, responsibilities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obligations after the spin-off with respect to tax liabilities and benefits, tax attributes, the preparation and filing of tax returns, the control of audits and other tax proceedings, and other matters regarding taxes. In addition, the Tax Matters Agreement imposes certain restrictions on the Company and its subsidiaries (including restrictions on share issuances, business combinations, sales of assets, and similar transactions) that are designed to preserve the tax-free status of the spin-off and certain related transactions.</w:t>
      </w:r>
    </w:p>
    <w:p>
      <w:pPr>
        <w:spacing w:after="0" w:line="77" w:lineRule="exact"/>
        <w:rPr>
          <w:rFonts w:ascii="Times New Roman" w:cs="Times New Roman" w:eastAsia="Times New Roman" w:hAnsi="Times New Roman"/>
          <w:sz w:val="18"/>
          <w:szCs w:val="18"/>
          <w:color w:val="auto"/>
        </w:rPr>
      </w:pPr>
    </w:p>
    <w:p>
      <w:pPr>
        <w:ind w:left="660" w:right="2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this agreement, the Company recorded a tax indemnification liability of $112 million on February 21, 2025. This liability was subsequently increased to reflect changes in indemnification obligations under the Tax Matters Agreement, which is recorded in Other expense, net in the Condensed Consolidated Statements of Operations. The remaining tax indemnification liability of $131 million is classified as Other liabilities in the Condensed Consolidated Balance Sheets as of April 3, 2026.</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Due to (from) Western Digital Corporation</w:t>
      </w:r>
    </w:p>
    <w:p>
      <w:pPr>
        <w:spacing w:after="0" w:line="11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Prior to the separation, the Company received financing from certain of WDC’s subsidiaries in the form of borrowings under revolving credit agreements and promissory notes to fund activities primarily related to Flash Ventures. Additionally, cash generated by the Company was lent from time to time via promissory notes to certain of WDC’s subsidiaries for use in general corporate purposes. Outstanding balances due under these financing arrangements were due on demand.</w:t>
      </w:r>
    </w:p>
    <w:p>
      <w:pPr>
        <w:spacing w:after="0" w:line="72"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Prior to the separation, the Company had outstanding borrowings due to WDC’s subsidiaries of $553 million, inclusive of interest payable. As part of the separation, WDC contributed $550 million to the Company, and the Company repaid $6 million in cash, which included interest accrued until the date of the separation.</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presents Interest expense and Interest income on notes due to (from) Western Digital Corporation, which were recorded within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and Interest income in the Condensed Consolidated Statements of Operations for the periods presented: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20"/>
                <w:szCs w:val="20"/>
                <w:color w:val="auto"/>
              </w:rPr>
            </w:pPr>
          </w:p>
        </w:tc>
        <w:tc>
          <w:tcPr>
            <w:tcW w:w="25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5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ind w:right="19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April 3,</w:t>
            </w:r>
          </w:p>
        </w:tc>
        <w:tc>
          <w:tcPr>
            <w:tcW w:w="3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April 3,</w:t>
            </w: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8"/>
              </w:rPr>
              <w:t>March 28,</w:t>
            </w:r>
          </w:p>
        </w:tc>
      </w:tr>
      <w:tr>
        <w:trPr>
          <w:trHeight w:val="241"/>
        </w:trPr>
        <w:tc>
          <w:tcPr>
            <w:tcW w:w="5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5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notes due from Western Digital Corporation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on notes due to Western Digital Corporation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Corporate Expenses</w:t>
      </w:r>
    </w:p>
    <w:p>
      <w:pPr>
        <w:spacing w:after="0" w:line="11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Prior to the separation, WDC provided various corporate services to the Company in the ordinary course of business, including executive management, finance, tax, legal, information technology, employee benefits administration, treasury, risk management, procurement and other shared services. These corporate expenses were allocated to the Company based on direct usage or benefit, where identifiable, with the remainder allocated based on headcount, revenue or other relevant measures. Management believes the basis on which the expenses were allocated to be a reasonable reflection of the utilization of services provided to the Company or the benefit received by the Company.</w:t>
      </w:r>
    </w:p>
    <w:p>
      <w:pPr>
        <w:spacing w:after="0" w:line="75"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Effective at the beginning of the second quarter of fiscal year 2025, the Company was operationally separated from the operations that were ultimately retained by WDC following completion of the spin-off. In connection with this operational separation, personnel serving the Company in shared service functions were transferred into legal entities dedicated to the Company, and substantially all assets, liabilities, and contracts pertaining to operations of the Company were transferred to legal entities dedicated to the Company as well. Accordingly, there was a substantial reduction in the pool of shared corporate overhead costs of WDC that were subject to allocation in the second and third quarters of fiscal year 2025 and those allocations ceased post-separation.</w:t>
      </w:r>
    </w:p>
    <w:p>
      <w:pPr>
        <w:spacing w:after="0" w:line="79"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The table below summarizes the impact of expense allocations from WDC within the Condensed Consolidated Statements of Operations for the periods presented: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3000" w:type="dxa"/>
            <w:vAlign w:val="bottom"/>
            <w:gridSpan w:val="6"/>
          </w:tcPr>
          <w:p>
            <w:pPr>
              <w:ind w:lef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20"/>
                <w:szCs w:val="20"/>
                <w:color w:val="auto"/>
              </w:rPr>
            </w:pPr>
          </w:p>
        </w:tc>
        <w:tc>
          <w:tcPr>
            <w:tcW w:w="252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5320" w:type="dxa"/>
            <w:vAlign w:val="bottom"/>
          </w:tcPr>
          <w:p>
            <w:pPr>
              <w:spacing w:after="0"/>
              <w:rPr>
                <w:sz w:val="14"/>
                <w:szCs w:val="14"/>
                <w:color w:val="auto"/>
              </w:rPr>
            </w:pPr>
          </w:p>
        </w:tc>
        <w:tc>
          <w:tcPr>
            <w:tcW w:w="10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April 3,</w:t>
            </w:r>
          </w:p>
        </w:tc>
        <w:tc>
          <w:tcPr>
            <w:tcW w:w="3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April 3,</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r>
      <w:tr>
        <w:trPr>
          <w:trHeight w:val="241"/>
        </w:trPr>
        <w:tc>
          <w:tcPr>
            <w:tcW w:w="5320" w:type="dxa"/>
            <w:vAlign w:val="bottom"/>
          </w:tcPr>
          <w:p>
            <w:pPr>
              <w:spacing w:after="0"/>
              <w:rPr>
                <w:sz w:val="20"/>
                <w:szCs w:val="20"/>
                <w:color w:val="auto"/>
              </w:rPr>
            </w:pP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5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6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separation costs</w:t>
            </w:r>
          </w:p>
        </w:tc>
        <w:tc>
          <w:tcPr>
            <w:tcW w:w="10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5320" w:type="dxa"/>
            <w:vAlign w:val="bottom"/>
          </w:tcPr>
          <w:p>
            <w:pPr>
              <w:jc w:val="center"/>
              <w:ind w:right="2190"/>
              <w:spacing w:after="0"/>
              <w:rPr>
                <w:sz w:val="20"/>
                <w:szCs w:val="20"/>
                <w:color w:val="auto"/>
              </w:rPr>
            </w:pPr>
            <w:r>
              <w:rPr>
                <w:rFonts w:ascii="Times New Roman" w:cs="Times New Roman" w:eastAsia="Times New Roman" w:hAnsi="Times New Roman"/>
                <w:sz w:val="18"/>
                <w:szCs w:val="18"/>
                <w:color w:val="auto"/>
              </w:rPr>
              <w:t>Employee termination and other charges</w:t>
            </w:r>
          </w:p>
        </w:tc>
        <w:tc>
          <w:tcPr>
            <w:tcW w:w="106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8"/>
        </w:trPr>
        <w:tc>
          <w:tcPr>
            <w:tcW w:w="5320" w:type="dxa"/>
            <w:vAlign w:val="bottom"/>
            <w:tcBorders>
              <w:top w:val="single" w:sz="8" w:color="CCEEFF"/>
              <w:bottom w:val="single" w:sz="8" w:color="CCEEFF"/>
            </w:tcBorders>
            <w:shd w:val="clear" w:color="auto" w:fill="CCEEFF"/>
          </w:tcPr>
          <w:p>
            <w:pPr>
              <w:jc w:val="center"/>
              <w:ind w:right="2150"/>
              <w:spacing w:after="0"/>
              <w:rPr>
                <w:sz w:val="20"/>
                <w:szCs w:val="20"/>
                <w:color w:val="auto"/>
              </w:rPr>
            </w:pPr>
            <w:r>
              <w:rPr>
                <w:rFonts w:ascii="Times New Roman" w:cs="Times New Roman" w:eastAsia="Times New Roman" w:hAnsi="Times New Roman"/>
                <w:sz w:val="18"/>
                <w:szCs w:val="18"/>
                <w:color w:val="auto"/>
                <w:w w:val="99"/>
              </w:rPr>
              <w:t>Total allocation of Corporate Expenses</w:t>
            </w: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Company’s historical financial statements for periods prior to the separation do not purport to reflect what results of operations, financial</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position, equity or cash flows would have been if the Company had operated as a standalone company during the periods presented prior to the separation.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Management</w:t>
      </w:r>
    </w:p>
    <w:p>
      <w:pPr>
        <w:spacing w:after="0" w:line="119" w:lineRule="exact"/>
        <w:rPr>
          <w:sz w:val="20"/>
          <w:szCs w:val="20"/>
          <w:color w:val="auto"/>
        </w:rPr>
      </w:pPr>
    </w:p>
    <w:p>
      <w:pPr>
        <w:ind w:right="360" w:firstLine="486"/>
        <w:spacing w:after="0" w:line="261" w:lineRule="auto"/>
        <w:rPr>
          <w:sz w:val="20"/>
          <w:szCs w:val="20"/>
          <w:color w:val="auto"/>
        </w:rPr>
      </w:pPr>
      <w:r>
        <w:rPr>
          <w:rFonts w:ascii="Times New Roman" w:cs="Times New Roman" w:eastAsia="Times New Roman" w:hAnsi="Times New Roman"/>
          <w:sz w:val="18"/>
          <w:szCs w:val="18"/>
          <w:color w:val="auto"/>
        </w:rPr>
        <w:t>Prior to the separation, WDC provided funding for the Company’s operating and investing activities, including pooled cash managed by WDC’s treasury, to fund operating expenses and capital expenditures. WDC also directly collected certain of the Company’s receivables. These activities were reflected as a component of the Net investment from Western Digital Corporation, and this arrangement is not reflective of the manner in which the Company would operate as a standalone company separate from WDC during the periods presented.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Western Digital Corporation Net Investment</w:t>
      </w:r>
    </w:p>
    <w:p>
      <w:pPr>
        <w:spacing w:after="0" w:line="119"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Prior to the separation, the Net investment from Western Digital Corporation on the Condensed Consolidated Balance Sheets represented WDC’s historical investment in the Company, the net effect of transactions with and allocations from WDC, the Company’s retained earnings and the allocation to the Company of cumulative effect adjustments from the adoption of new accounting standards.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Transfers from (to) Western Digital Corporation</w:t>
      </w:r>
    </w:p>
    <w:p>
      <w:pPr>
        <w:spacing w:after="0" w:line="119"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A reconciliation of Net transfers from (to) Western Digital Corporation on the Condensed Consolidated Statements of Shareholders’ Equity to the corresponding amounts on the Condensed Consolidated Statements of Cash Flows is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3620" w:type="dxa"/>
            <w:vAlign w:val="bottom"/>
            <w:tcBorders>
              <w:bottom w:val="single" w:sz="8" w:color="auto"/>
            </w:tcBorders>
            <w:gridSpan w:val="5"/>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7620" w:type="dxa"/>
            <w:vAlign w:val="bottom"/>
          </w:tcPr>
          <w:p>
            <w:pPr>
              <w:spacing w:after="0"/>
              <w:rPr>
                <w:sz w:val="14"/>
                <w:szCs w:val="14"/>
                <w:color w:val="auto"/>
              </w:rPr>
            </w:pPr>
          </w:p>
        </w:tc>
        <w:tc>
          <w:tcPr>
            <w:tcW w:w="1280" w:type="dxa"/>
            <w:vAlign w:val="bottom"/>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rPr>
              <w:t>April 3,</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right"/>
              <w:ind w:right="41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r>
      <w:tr>
        <w:trPr>
          <w:trHeight w:val="241"/>
        </w:trPr>
        <w:tc>
          <w:tcPr>
            <w:tcW w:w="7620" w:type="dxa"/>
            <w:vAlign w:val="bottom"/>
          </w:tcPr>
          <w:p>
            <w:pPr>
              <w:spacing w:after="0"/>
              <w:rPr>
                <w:sz w:val="20"/>
                <w:szCs w:val="20"/>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7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320" w:type="dxa"/>
            <w:vAlign w:val="bottom"/>
          </w:tcPr>
          <w:p>
            <w:pPr>
              <w:spacing w:after="0"/>
              <w:rPr>
                <w:sz w:val="19"/>
                <w:szCs w:val="19"/>
                <w:color w:val="auto"/>
              </w:rPr>
            </w:pPr>
          </w:p>
        </w:tc>
      </w:tr>
      <w:tr>
        <w:trPr>
          <w:trHeight w:val="176"/>
        </w:trPr>
        <w:tc>
          <w:tcPr>
            <w:tcW w:w="7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transfers from Western Digital Corporation per Condensed Consolidated Statements of</w:t>
            </w:r>
          </w:p>
        </w:tc>
        <w:tc>
          <w:tcPr>
            <w:tcW w:w="1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28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to Western Digital Corporation</w:t>
            </w:r>
          </w:p>
        </w:tc>
        <w:tc>
          <w:tcPr>
            <w:tcW w:w="128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and liabilities, net transferred from Western Digital Corporation</w:t>
            </w:r>
          </w:p>
        </w:tc>
        <w:tc>
          <w:tcPr>
            <w:tcW w:w="12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Unis Venture transferred from Western Digital Corporation</w:t>
            </w:r>
          </w:p>
        </w:tc>
        <w:tc>
          <w:tcPr>
            <w:tcW w:w="128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transferred from Western Digital Corporation</w:t>
            </w:r>
          </w:p>
        </w:tc>
        <w:tc>
          <w:tcPr>
            <w:tcW w:w="12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balances transferred from Western Digital Corporation</w:t>
            </w:r>
          </w:p>
        </w:tc>
        <w:tc>
          <w:tcPr>
            <w:tcW w:w="128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transferred from Western Digital Corporation</w:t>
            </w:r>
          </w:p>
        </w:tc>
        <w:tc>
          <w:tcPr>
            <w:tcW w:w="12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indemnification liability transferred to Western Digital Corporation</w:t>
            </w:r>
          </w:p>
        </w:tc>
        <w:tc>
          <w:tcPr>
            <w:tcW w:w="128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48"/>
        </w:trPr>
        <w:tc>
          <w:tcPr>
            <w:tcW w:w="76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transfers to Western Digital Corporation per Condensed Consolidated Statements of Cash Flows</w:t>
            </w:r>
          </w:p>
        </w:tc>
        <w:tc>
          <w:tcPr>
            <w:tcW w:w="128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11.</w:t>
        <w:tab/>
        <w:t>Leases and Other Commitments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The Company leases certain domestic and international facilities and datacenter space under long-term, non-cancelable operating leases that expire at various dates through fiscal year 2039. In connection with and subsequent to the separation, the Company entered into various sublease agreements with WDC under long-term, non-cancelable operating leases that expire at various dates through fiscal year 2032.</w:t>
      </w:r>
    </w:p>
    <w:p>
      <w:pPr>
        <w:spacing w:after="0" w:line="68"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These leases include no material variable or contingent lease payments. Operating lease assets and liabilities are recognized based on the present value of the remaining lease payments discounted using the Company’s incremental borrowing rate. Operating lease assets also include prepaid lease payments minus any lease incentives. Extension or termination options present in the Company’s lease agreements are included in determining the right-of-use asset and lease liability when it is reasonably certain the Company will exercise those options. Lease expense is recognized on a straight-line basis over the lease term.</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presents right-of-use lease assets and lease liabilities included in the Company’s Condensed Consolidated Balance Sheets: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April 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June 27,</w:t>
            </w:r>
          </w:p>
        </w:tc>
      </w:tr>
      <w:tr>
        <w:trPr>
          <w:trHeight w:val="241"/>
        </w:trPr>
        <w:tc>
          <w:tcPr>
            <w:tcW w:w="76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76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280" w:type="dxa"/>
            <w:vAlign w:val="bottom"/>
            <w:shd w:val="clear" w:color="auto" w:fill="CCEEFF"/>
          </w:tcPr>
          <w:p>
            <w:pPr>
              <w:spacing w:after="0"/>
              <w:rPr>
                <w:sz w:val="19"/>
                <w:szCs w:val="19"/>
                <w:color w:val="auto"/>
              </w:rPr>
            </w:pP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(included in other non-current assets)</w:t>
            </w:r>
          </w:p>
        </w:tc>
        <w:tc>
          <w:tcPr>
            <w:tcW w:w="128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70"/>
        </w:trPr>
        <w:tc>
          <w:tcPr>
            <w:tcW w:w="76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operating lease liabilities (included in accrued expenses)</w:t>
            </w: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7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Long-term operating lease liabilities (included in other liabilities)</w:t>
            </w:r>
          </w:p>
        </w:tc>
        <w:tc>
          <w:tcPr>
            <w:tcW w:w="1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48"/>
        </w:trPr>
        <w:tc>
          <w:tcPr>
            <w:tcW w:w="7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supplemental disclosures of operating cost and cash flow information related to operating leases: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304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0"/>
                <w:szCs w:val="20"/>
                <w:color w:val="auto"/>
              </w:rPr>
            </w:pPr>
          </w:p>
        </w:tc>
        <w:tc>
          <w:tcPr>
            <w:tcW w:w="224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500" w:type="dxa"/>
            <w:vAlign w:val="bottom"/>
          </w:tcPr>
          <w:p>
            <w:pPr>
              <w:spacing w:after="0"/>
              <w:rPr>
                <w:sz w:val="20"/>
                <w:szCs w:val="20"/>
                <w:color w:val="auto"/>
              </w:rPr>
            </w:pPr>
          </w:p>
        </w:tc>
      </w:tr>
      <w:tr>
        <w:trPr>
          <w:trHeight w:val="169"/>
        </w:trPr>
        <w:tc>
          <w:tcPr>
            <w:tcW w:w="5240" w:type="dxa"/>
            <w:vAlign w:val="bottom"/>
          </w:tcPr>
          <w:p>
            <w:pPr>
              <w:spacing w:after="0"/>
              <w:rPr>
                <w:sz w:val="14"/>
                <w:szCs w:val="14"/>
                <w:color w:val="auto"/>
              </w:rPr>
            </w:pPr>
          </w:p>
        </w:tc>
        <w:tc>
          <w:tcPr>
            <w:tcW w:w="1100" w:type="dxa"/>
            <w:vAlign w:val="bottom"/>
            <w:tcBorders>
              <w:top w:val="single" w:sz="8" w:color="auto"/>
            </w:tcBorders>
          </w:tcPr>
          <w:p>
            <w:pPr>
              <w:jc w:val="center"/>
              <w:ind w:left="23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April 3,</w:t>
            </w:r>
          </w:p>
        </w:tc>
        <w:tc>
          <w:tcPr>
            <w:tcW w:w="3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4"/>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April 3,</w:t>
            </w:r>
          </w:p>
        </w:tc>
        <w:tc>
          <w:tcPr>
            <w:tcW w:w="1580" w:type="dxa"/>
            <w:vAlign w:val="bottom"/>
            <w:tcBorders>
              <w:top w:val="single" w:sz="8" w:color="auto"/>
            </w:tcBorders>
            <w:gridSpan w:val="2"/>
          </w:tcPr>
          <w:p>
            <w:pPr>
              <w:jc w:val="center"/>
              <w:ind w:left="70"/>
              <w:spacing w:after="0" w:line="169" w:lineRule="exact"/>
              <w:rPr>
                <w:sz w:val="20"/>
                <w:szCs w:val="20"/>
                <w:color w:val="auto"/>
              </w:rPr>
            </w:pPr>
            <w:r>
              <w:rPr>
                <w:rFonts w:ascii="Times New Roman" w:cs="Times New Roman" w:eastAsia="Times New Roman" w:hAnsi="Times New Roman"/>
                <w:sz w:val="18"/>
                <w:szCs w:val="18"/>
                <w:b w:val="1"/>
                <w:bCs w:val="1"/>
                <w:color w:val="auto"/>
                <w:w w:val="98"/>
              </w:rPr>
              <w:t>March 28,</w:t>
            </w:r>
          </w:p>
        </w:tc>
      </w:tr>
      <w:tr>
        <w:trPr>
          <w:trHeight w:val="241"/>
        </w:trPr>
        <w:tc>
          <w:tcPr>
            <w:tcW w:w="5240" w:type="dxa"/>
            <w:vAlign w:val="bottom"/>
          </w:tcPr>
          <w:p>
            <w:pPr>
              <w:spacing w:after="0"/>
              <w:rPr>
                <w:sz w:val="20"/>
                <w:szCs w:val="20"/>
                <w:color w:val="auto"/>
              </w:rPr>
            </w:pP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20"/>
                <w:szCs w:val="20"/>
                <w:color w:val="auto"/>
              </w:rPr>
            </w:pPr>
          </w:p>
        </w:tc>
      </w:tr>
      <w:tr>
        <w:trPr>
          <w:trHeight w:val="225"/>
        </w:trPr>
        <w:tc>
          <w:tcPr>
            <w:tcW w:w="5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gridSpan w:val="7"/>
          </w:tcPr>
          <w:p>
            <w:pPr>
              <w:jc w:val="right"/>
              <w:ind w:right="89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operating leases</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1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176"/>
        </w:trPr>
        <w:tc>
          <w:tcPr>
            <w:tcW w:w="5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Operating lease assets obtained in exchange for operating lease</w:t>
            </w: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10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18"/>
        </w:trPr>
        <w:tc>
          <w:tcPr>
            <w:tcW w:w="9660" w:type="dxa"/>
            <w:vAlign w:val="bottom"/>
            <w:gridSpan w:val="11"/>
          </w:tcPr>
          <w:p>
            <w:pPr>
              <w:ind w:left="500"/>
              <w:spacing w:after="0"/>
              <w:rPr>
                <w:sz w:val="20"/>
                <w:szCs w:val="20"/>
                <w:color w:val="auto"/>
              </w:rPr>
            </w:pPr>
            <w:r>
              <w:rPr>
                <w:rFonts w:ascii="Times New Roman" w:cs="Times New Roman" w:eastAsia="Times New Roman" w:hAnsi="Times New Roman"/>
                <w:sz w:val="18"/>
                <w:szCs w:val="18"/>
                <w:color w:val="auto"/>
              </w:rPr>
              <w:t>The weighted average remaining lease term and discount rate for the Company’s operating leases were as follows:</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10"/>
        </w:trPr>
        <w:tc>
          <w:tcPr>
            <w:tcW w:w="5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April 3,</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March 28,</w:t>
            </w:r>
          </w:p>
        </w:tc>
        <w:tc>
          <w:tcPr>
            <w:tcW w:w="500" w:type="dxa"/>
            <w:vAlign w:val="bottom"/>
          </w:tcPr>
          <w:p>
            <w:pPr>
              <w:spacing w:after="0"/>
              <w:rPr>
                <w:sz w:val="24"/>
                <w:szCs w:val="24"/>
                <w:color w:val="auto"/>
              </w:rPr>
            </w:pPr>
          </w:p>
        </w:tc>
      </w:tr>
      <w:tr>
        <w:trPr>
          <w:trHeight w:val="241"/>
        </w:trPr>
        <w:tc>
          <w:tcPr>
            <w:tcW w:w="524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20"/>
                <w:szCs w:val="20"/>
                <w:color w:val="auto"/>
              </w:rPr>
            </w:pPr>
          </w:p>
        </w:tc>
      </w:tr>
      <w:tr>
        <w:trPr>
          <w:trHeight w:val="225"/>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7.4 %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400"/>
        </w:trPr>
        <w:tc>
          <w:tcPr>
            <w:tcW w:w="6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As of April 3, 2026, remaining minimum lease payments were as follows:</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64"/>
        </w:trPr>
        <w:tc>
          <w:tcPr>
            <w:tcW w:w="5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7"/>
              </w:rPr>
              <w:t>Lease Amounts</w:t>
            </w:r>
          </w:p>
        </w:tc>
      </w:tr>
      <w:tr>
        <w:trPr>
          <w:trHeight w:val="223"/>
        </w:trPr>
        <w:tc>
          <w:tcPr>
            <w:tcW w:w="5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500" w:type="dxa"/>
            <w:vAlign w:val="bottom"/>
          </w:tcPr>
          <w:p>
            <w:pPr>
              <w:spacing w:after="0"/>
              <w:rPr>
                <w:sz w:val="19"/>
                <w:szCs w:val="19"/>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lease payments by fiscal year:</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Remaining three months of 2026</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2030</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3"/>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3"/>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0"/>
        </w:trPr>
        <w:tc>
          <w:tcPr>
            <w:tcW w:w="5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-3779520</wp:posOffset>
            </wp:positionV>
            <wp:extent cx="60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-3779520</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-2451100</wp:posOffset>
            </wp:positionV>
            <wp:extent cx="603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Purchase Agreements and Other Commitments</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enters into purchase orders with suppliers for the purchase of components used to manufacture its products. These purchase orders generally cover forecasted component supplies needed for production during the coming months, are recorded as a liability upon receipt of the components, and generally may be changed or canceled at any time prior to shipment of the components. The Company also enters into certain long-term agreements with suppliers that contain fixed future commitments, which are contingent upon certain conditions such as performance, quality and technology of the vendor’s components.</w:t>
      </w:r>
    </w:p>
    <w:p>
      <w:pPr>
        <w:spacing w:after="0" w:line="75"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On March 25, 2026, the Company entered into a Private Placement Subscription Agreement (the “Equity Investment Agreement”) with Nanya Technology Corporation (“Nanya”), pursuant to which the Company agreed to make a strategic equity investment in Nanya through a private placement of Nanya common stock (the “Transaction”).</w:t>
      </w:r>
    </w:p>
    <w:p>
      <w:pPr>
        <w:spacing w:after="0" w:line="68"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 xml:space="preserve">Under the Equity Investment Agreement, the Company agreed to purchase approximately 139 million shares of Nanya common stock for an aggregate purchase price of $972 million, representing approximately 3.9% of Nanya’s outstanding common stock on a fully diluted basis following the Transaction. The purchase price reflected a 15% discount to Nanya’s 30-day average trading price, consistent with the Taiwan Securities and Exchange Act (“SEA”) and applicable regulations. The private placement was conducted pursuant to Article 43-6 of the SEA and applicable regulations and was subject to post-closing filings with the Taiwan Stock Exchange and other Taiwanese regulatory authorities. The shares issued to the Company in the private placement are subject to a statutory lock-up period of three years following delivery, during which the Company will be restricted from transferring or selling the shares, subject to limited exceptions under applicable Taiwanese law. On April 8, 2026, the Company remitted the purchase price to fully subscribe for the shares of Nanya. See Note 16,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for additional disclosures.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Concurrently with the Equity Investment Agreement, the Company and Nanya also entered into a multi-year strategic supply arrangement pursuant to which Nanya will supply the Company with DRAM products. The supply arrangement is intended to support the Company’s long-term DRAM sourcing strategy. The supply arrangement includes committed volumes per year, subject to variable pricing that is determined on a quarterly basis, based on the average selling price of Nanya’s DRAM products in the preceding quarter.</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April 3, 2026, the Company had the following minimum long-term commitments, which includes the commitment to purchase shares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Nanya that was satisfied on April 8, 2026, see Note 16, </w:t>
      </w:r>
      <w:r>
        <w:rPr>
          <w:rFonts w:ascii="Times New Roman" w:cs="Times New Roman" w:eastAsia="Times New Roman" w:hAnsi="Times New Roman"/>
          <w:sz w:val="18"/>
          <w:szCs w:val="18"/>
          <w:i w:val="1"/>
          <w:iCs w:val="1"/>
          <w:color w:val="auto"/>
        </w:rPr>
        <w:t>Subsequent Events: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60" w:type="dxa"/>
            <w:vAlign w:val="bottom"/>
          </w:tcPr>
          <w:p>
            <w:pPr>
              <w:spacing w:after="0"/>
              <w:rPr>
                <w:sz w:val="20"/>
                <w:szCs w:val="20"/>
                <w:color w:val="auto"/>
              </w:rPr>
            </w:pPr>
          </w:p>
        </w:tc>
        <w:tc>
          <w:tcPr>
            <w:tcW w:w="1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Long-term commitments</w:t>
            </w:r>
          </w:p>
        </w:tc>
      </w:tr>
      <w:tr>
        <w:trPr>
          <w:trHeight w:val="223"/>
        </w:trPr>
        <w:tc>
          <w:tcPr>
            <w:tcW w:w="9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tcPr>
          <w:p>
            <w:pPr>
              <w:jc w:val="right"/>
              <w:ind w:right="450"/>
              <w:spacing w:after="0"/>
              <w:rPr>
                <w:sz w:val="20"/>
                <w:szCs w:val="20"/>
                <w:color w:val="auto"/>
              </w:rPr>
            </w:pPr>
            <w:r>
              <w:rPr>
                <w:rFonts w:ascii="Times New Roman" w:cs="Times New Roman" w:eastAsia="Times New Roman" w:hAnsi="Times New Roman"/>
                <w:sz w:val="18"/>
                <w:szCs w:val="18"/>
                <w:i w:val="1"/>
                <w:iCs w:val="1"/>
                <w:color w:val="auto"/>
              </w:rPr>
              <w:t>(in millions)</w:t>
            </w:r>
          </w:p>
        </w:tc>
      </w:tr>
      <w:tr>
        <w:trPr>
          <w:trHeight w:val="22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Remaining three months of 2026</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30"/>
        </w:trPr>
        <w:tc>
          <w:tcPr>
            <w:tcW w:w="9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r>
      <w:tr>
        <w:trPr>
          <w:trHeight w:val="229"/>
        </w:trPr>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r>
      <w:tr>
        <w:trPr>
          <w:trHeight w:val="230"/>
        </w:trPr>
        <w:tc>
          <w:tcPr>
            <w:tcW w:w="9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r>
      <w:tr>
        <w:trPr>
          <w:trHeight w:val="229"/>
        </w:trPr>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2030</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r>
      <w:tr>
        <w:trPr>
          <w:trHeight w:val="229"/>
        </w:trPr>
        <w:tc>
          <w:tcPr>
            <w:tcW w:w="9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9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7,107</w:t>
            </w:r>
          </w:p>
        </w:tc>
      </w:tr>
      <w:tr>
        <w:trPr>
          <w:trHeight w:val="20"/>
        </w:trPr>
        <w:tc>
          <w:tcPr>
            <w:tcW w:w="9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121"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Prior to the separation, certain of the Company’s employees participated in WDC’s stock incentive plans (the “WDC Plans”), whereby all awards granted under the plans consisted of WDC common stock. The stock-based compensation expense recognized in the Company’s Condensed Consolidated Financial Statements was determined based upon employees who participated in the WDC Plans and exclusively supported the Company’s operations, as well as an allocation of WDC’s corporate and shared employee stock-based compensation expenses.</w:t>
      </w:r>
    </w:p>
    <w:p>
      <w:pPr>
        <w:spacing w:after="0" w:line="72"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In connection with the separation, all outstanding RSU and PSU awards held by former employees of WDC and its affiliates, who became Sandisk employees after the separation, were adjusted pursuant to conversion ratios determined in accordance with the terms of the Employee Matters Agreement. Outstanding RSU and PSU awards held by employees in the positions of Vice President and above as of the separation date were converted into RSU or PSU awards of Sandisk shares and RSU awards of WDC shares at a ratio of one-third (1/3) of one share of the Company’s common stock for each WDC award held by each such employee. For all other employees, the value of the converted RSU awards was designed to preserve the aggregate intrinsic value of the awards immediately after the separation when compared to the aggregate intrinsic value of those awards immediately prior to separation. Pursuant to the Employee Matters Agreement, the converted awards shall generally continue to be subject to the same terms and conditions as were applicable to the original WDC awards, including with respect to vesting, except as described in the Employee Matters Agreement. As a result of the conversion, the Company will incur approximately $41 million of incremental stock-based compensation expense from the date of the separation through the remaining service period for the awards. Of this amount, $4 million and $13 million was recognized during the three and nine months ended April 3, 2026, respectively, and approximately $16 million is expected to be recognized over the awards’ remaining service periods.</w:t>
      </w:r>
    </w:p>
    <w:p>
      <w:pPr>
        <w:spacing w:after="0" w:line="84"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Additionally, the Company adopted the following incentive plans for Sandisk employees: (i) Sandisk Corporation 2025 Long-Term Incentive Plan (the “2025 Long-Term Incentive Plan”), and (ii) Sandisk Corporation 2025 Employee Stock Purchase Plan. Grants of equity awards made after the separation to the Company’s executive officers and other employees will be made under the 2025 Long-Term Incentive Plan, which became effective on January 25, 2025.</w:t>
      </w:r>
    </w:p>
    <w:p>
      <w:pPr>
        <w:spacing w:after="0" w:line="72"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After the separation, certain employees of the Company participate in stock incentive plans which allow for stock-based compensation in a number of forms, including RSU awards, PSU awards, and an employee stock purchase plan (“ESPP”).</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Restricted and Performance Stock Unit Awards</w:t>
      </w:r>
    </w:p>
    <w:p>
      <w:pPr>
        <w:spacing w:after="0" w:line="12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fair value of an RSU award equals the closing share price on the grant date of the award. The fair value of a PSU award containing a market condition is estimated using a Monte Carlo simulation on the grant date. The expense associated with these awards is recognized over their requisite service period, usually four years for RSUs and three years for PSUs.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RSU and PSU award activity under the Company’s incentive plans during the nine months ended April 3, 2026:</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17"/>
                <w:szCs w:val="17"/>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75"/>
        </w:trPr>
        <w:tc>
          <w:tcPr>
            <w:tcW w:w="676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4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Intrinsic Value at</w:t>
            </w: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1"/>
                <w:szCs w:val="21"/>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21"/>
                <w:szCs w:val="21"/>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180" w:type="dxa"/>
            <w:vAlign w:val="bottom"/>
          </w:tcPr>
          <w:p>
            <w:pPr>
              <w:spacing w:after="0"/>
              <w:rPr>
                <w:sz w:val="21"/>
                <w:szCs w:val="21"/>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Vesting Date</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19"/>
                <w:szCs w:val="19"/>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(in millions)</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jc w:val="right"/>
              <w:ind w:right="3190"/>
              <w:spacing w:after="0"/>
              <w:rPr>
                <w:sz w:val="20"/>
                <w:szCs w:val="20"/>
                <w:color w:val="auto"/>
              </w:rPr>
            </w:pPr>
            <w:r>
              <w:rPr>
                <w:rFonts w:ascii="Times New Roman" w:cs="Times New Roman" w:eastAsia="Times New Roman" w:hAnsi="Times New Roman"/>
                <w:sz w:val="18"/>
                <w:szCs w:val="18"/>
                <w:b w:val="1"/>
                <w:bCs w:val="1"/>
                <w:color w:val="auto"/>
                <w:w w:val="99"/>
              </w:rPr>
              <w:t>RSUs and PSUs outstanding at June 27, 2025</w:t>
            </w:r>
          </w:p>
        </w:tc>
        <w:tc>
          <w:tcPr>
            <w:tcW w:w="1420" w:type="dxa"/>
            <w:vAlign w:val="bottom"/>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7"/>
              </w:rPr>
              <w:t>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8"/>
              </w:rPr>
              <w:t>(2.0)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492.42</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Canceled/forfeited</w:t>
            </w:r>
          </w:p>
        </w:tc>
        <w:tc>
          <w:tcPr>
            <w:tcW w:w="1420" w:type="dxa"/>
            <w:vAlign w:val="bottom"/>
            <w:tcBorders>
              <w:bottom w:val="single" w:sz="8" w:color="auto"/>
            </w:tcBorders>
          </w:tcPr>
          <w:p>
            <w:pPr>
              <w:jc w:val="center"/>
              <w:ind w:left="950"/>
              <w:spacing w:after="0"/>
              <w:rPr>
                <w:sz w:val="20"/>
                <w:szCs w:val="20"/>
                <w:color w:val="auto"/>
              </w:rPr>
            </w:pPr>
            <w:r>
              <w:rPr>
                <w:rFonts w:ascii="Times New Roman" w:cs="Times New Roman" w:eastAsia="Times New Roman" w:hAnsi="Times New Roman"/>
                <w:sz w:val="18"/>
                <w:szCs w:val="18"/>
                <w:color w:val="auto"/>
                <w:w w:val="98"/>
              </w:rPr>
              <w:t>(0.3)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jc w:val="right"/>
              <w:ind w:right="3190"/>
              <w:spacing w:after="0"/>
              <w:rPr>
                <w:sz w:val="20"/>
                <w:szCs w:val="20"/>
                <w:color w:val="auto"/>
              </w:rPr>
            </w:pPr>
            <w:r>
              <w:rPr>
                <w:rFonts w:ascii="Times New Roman" w:cs="Times New Roman" w:eastAsia="Times New Roman" w:hAnsi="Times New Roman"/>
                <w:sz w:val="18"/>
                <w:szCs w:val="18"/>
                <w:b w:val="1"/>
                <w:bCs w:val="1"/>
                <w:color w:val="auto"/>
              </w:rPr>
              <w:t>RSUs and PSUs outstanding at April 3, 2026</w:t>
            </w:r>
          </w:p>
        </w:tc>
        <w:tc>
          <w:tcPr>
            <w:tcW w:w="1420" w:type="dxa"/>
            <w:vAlign w:val="bottom"/>
            <w:tcBorders>
              <w:bottom w:val="single" w:sz="8" w:color="auto"/>
            </w:tcBorders>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7"/>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492.42</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RSUs are generally settled in an equal number of shares of the Company’s common stock upon vesting. PSUs contain performance conditions under which the recipient may earn between 0% to 300% of the target number of shares awarded. The PSU awards consist of 1.4 million granted awards that could result in a maximum of 3.6 million shares available to vest if all PSU performance conditions are met. Forfeitures are recognized as they occur.</w:t>
      </w:r>
    </w:p>
    <w:p>
      <w:pPr>
        <w:spacing w:after="0" w:line="68"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Compensation cost related to unvested RSUs, PSUs, and rights to purchase shares of common stock under the ESPP is amortized on a straight-line basis over the remaining service period. The following table presents the unamortized compensation cost and weighted average service period of all unvested outstanding awards as of April 3, 2026:</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Unamortized</w:t>
            </w:r>
          </w:p>
        </w:tc>
        <w:tc>
          <w:tcPr>
            <w:tcW w:w="8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41"/>
        </w:trPr>
        <w:tc>
          <w:tcPr>
            <w:tcW w:w="7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Compensation Costs</w:t>
            </w:r>
          </w:p>
        </w:tc>
        <w:tc>
          <w:tcPr>
            <w:tcW w:w="8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service period</w:t>
            </w:r>
          </w:p>
        </w:tc>
      </w:tr>
      <w:tr>
        <w:trPr>
          <w:trHeight w:val="225"/>
        </w:trPr>
        <w:tc>
          <w:tcPr>
            <w:tcW w:w="7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center"/>
              <w:ind w:right="7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(years)</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and PSUs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30"/>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48"/>
        </w:trPr>
        <w:tc>
          <w:tcPr>
            <w:tcW w:w="7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unamortized compensation cost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r>
    </w:tbl>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Company has an ESPP under which WDC, as its previous sole stockholder, approved an aggregate of approximately 4.3 million shares of common stock for issuance to eligible employees. The fair value of the award at the grant date is based on the Black-Scholes valuation model. The plan permits eligible employees to purchase common stock, through payroll deductions, at 95% of the fair market value of a share of common stock on the first day of the 24-month offering period in which the employees are participating or 95% of the fair market value of a share of common stock on the applicable exercise date, whichever is lower. Rights to purchase shares are granted during the second and fourth quarters of each fiscal year.</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stock-based compensation for equity-settled awards by type, financial statement line, and the related tax benefit included in the Company’s Condensed Consolidated Statements of Operations: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3040" w:type="dxa"/>
            <w:vAlign w:val="bottom"/>
            <w:gridSpan w:val="6"/>
          </w:tcPr>
          <w:p>
            <w:pPr>
              <w:ind w:lef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20"/>
                <w:szCs w:val="20"/>
                <w:color w:val="auto"/>
              </w:rPr>
            </w:pPr>
          </w:p>
        </w:tc>
        <w:tc>
          <w:tcPr>
            <w:tcW w:w="254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74"/>
        </w:trPr>
        <w:tc>
          <w:tcPr>
            <w:tcW w:w="5240" w:type="dxa"/>
            <w:vAlign w:val="bottom"/>
          </w:tcPr>
          <w:p>
            <w:pPr>
              <w:spacing w:after="0"/>
              <w:rPr>
                <w:sz w:val="15"/>
                <w:szCs w:val="15"/>
                <w:color w:val="auto"/>
              </w:rPr>
            </w:pPr>
          </w:p>
        </w:tc>
        <w:tc>
          <w:tcPr>
            <w:tcW w:w="1100" w:type="dxa"/>
            <w:vAlign w:val="bottom"/>
            <w:tcBorders>
              <w:top w:val="single" w:sz="8" w:color="auto"/>
            </w:tcBorders>
          </w:tcPr>
          <w:p>
            <w:pPr>
              <w:jc w:val="right"/>
              <w:ind w:right="10"/>
              <w:spacing w:after="0" w:line="174" w:lineRule="exact"/>
              <w:rPr>
                <w:sz w:val="20"/>
                <w:szCs w:val="20"/>
                <w:color w:val="auto"/>
              </w:rPr>
            </w:pPr>
            <w:r>
              <w:rPr>
                <w:rFonts w:ascii="Times New Roman" w:cs="Times New Roman" w:eastAsia="Times New Roman" w:hAnsi="Times New Roman"/>
                <w:sz w:val="18"/>
                <w:szCs w:val="18"/>
                <w:b w:val="1"/>
                <w:bCs w:val="1"/>
                <w:color w:val="auto"/>
              </w:rPr>
              <w:t>April 3,</w:t>
            </w:r>
          </w:p>
        </w:tc>
        <w:tc>
          <w:tcPr>
            <w:tcW w:w="3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230"/>
              <w:spacing w:after="0" w:line="174"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April 3,</w:t>
            </w: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230"/>
              <w:spacing w:after="0" w:line="174" w:lineRule="exact"/>
              <w:rPr>
                <w:sz w:val="20"/>
                <w:szCs w:val="20"/>
                <w:color w:val="auto"/>
              </w:rPr>
            </w:pPr>
            <w:r>
              <w:rPr>
                <w:rFonts w:ascii="Times New Roman" w:cs="Times New Roman" w:eastAsia="Times New Roman" w:hAnsi="Times New Roman"/>
                <w:sz w:val="18"/>
                <w:szCs w:val="18"/>
                <w:b w:val="1"/>
                <w:bCs w:val="1"/>
                <w:color w:val="auto"/>
              </w:rPr>
              <w:t>March 28,</w:t>
            </w:r>
          </w:p>
        </w:tc>
      </w:tr>
      <w:tr>
        <w:trPr>
          <w:trHeight w:val="238"/>
        </w:trPr>
        <w:tc>
          <w:tcPr>
            <w:tcW w:w="5240" w:type="dxa"/>
            <w:vAlign w:val="bottom"/>
          </w:tcPr>
          <w:p>
            <w:pPr>
              <w:spacing w:after="0"/>
              <w:rPr>
                <w:sz w:val="20"/>
                <w:szCs w:val="20"/>
                <w:color w:val="auto"/>
              </w:rPr>
            </w:pP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5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and PSUs</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9"/>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5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3040" w:type="dxa"/>
            <w:vAlign w:val="bottom"/>
            <w:gridSpan w:val="6"/>
          </w:tcPr>
          <w:p>
            <w:pPr>
              <w:ind w:lef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20"/>
                <w:szCs w:val="20"/>
                <w:color w:val="auto"/>
              </w:rPr>
            </w:pPr>
          </w:p>
        </w:tc>
        <w:tc>
          <w:tcPr>
            <w:tcW w:w="254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5240" w:type="dxa"/>
            <w:vAlign w:val="bottom"/>
          </w:tcPr>
          <w:p>
            <w:pPr>
              <w:spacing w:after="0"/>
              <w:rPr>
                <w:sz w:val="14"/>
                <w:szCs w:val="14"/>
                <w:color w:val="auto"/>
              </w:rPr>
            </w:pPr>
          </w:p>
        </w:tc>
        <w:tc>
          <w:tcPr>
            <w:tcW w:w="1100" w:type="dxa"/>
            <w:vAlign w:val="bottom"/>
            <w:tcBorders>
              <w:top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rPr>
              <w:t>April 3,</w:t>
            </w:r>
          </w:p>
        </w:tc>
        <w:tc>
          <w:tcPr>
            <w:tcW w:w="3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April 3,</w:t>
            </w: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r>
      <w:tr>
        <w:trPr>
          <w:trHeight w:val="241"/>
        </w:trPr>
        <w:tc>
          <w:tcPr>
            <w:tcW w:w="5240" w:type="dxa"/>
            <w:vAlign w:val="bottom"/>
          </w:tcPr>
          <w:p>
            <w:pPr>
              <w:spacing w:after="0"/>
              <w:rPr>
                <w:sz w:val="20"/>
                <w:szCs w:val="20"/>
                <w:color w:val="auto"/>
              </w:rPr>
            </w:pP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5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Subtotal</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 (benefit)</w:t>
            </w:r>
          </w:p>
        </w:tc>
        <w:tc>
          <w:tcPr>
            <w:tcW w:w="1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
        </w:trPr>
        <w:tc>
          <w:tcPr>
            <w:tcW w:w="5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Any shortfalls or excess windfall tax benefits and tax deficiencies for shortfalls related to the vesting and exercise of stock-based awards, which are recognized as a component of the Company’s Income tax expense, are excluded from the tax expense (benefit) above.</w:t>
      </w:r>
    </w:p>
    <w:p>
      <w:pPr>
        <w:spacing w:after="0" w:line="5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13.</w:t>
        <w:tab/>
        <w:t>Net Income (Loss) per Common Share</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separation was executed through WDC’s pro rata distribution of 80.1% of the outstanding shares of common stock of the Company to holders of WDC’s common stock as of February 21, 2025. On the separation date, the Company issued 145 million shares of common stock, par value $0.01 per share. This share amount is utilized for the calculation of basic and diluted net income (loss) per share for all periods presented prior to the separation, and these shares are treated as issued and outstanding for purposes of calculating historical net income (loss) per share. For periods prior to the separation, it is assumed that there are no dilutive equity instruments as there were no equity awards of Sandisk outstanding prior to the separation.</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net income (loss) per common share: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0"/>
                <w:szCs w:val="20"/>
                <w:color w:val="auto"/>
              </w:rPr>
            </w:pPr>
          </w:p>
        </w:tc>
        <w:tc>
          <w:tcPr>
            <w:tcW w:w="270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5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April 3,</w:t>
            </w:r>
          </w:p>
        </w:tc>
        <w:tc>
          <w:tcPr>
            <w:tcW w:w="3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April 3,</w:t>
            </w: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r>
      <w:tr>
        <w:trPr>
          <w:trHeight w:val="241"/>
        </w:trPr>
        <w:tc>
          <w:tcPr>
            <w:tcW w:w="5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5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6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4,530</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r>
      <w:tr>
        <w:trPr>
          <w:trHeight w:val="256"/>
        </w:trPr>
        <w:tc>
          <w:tcPr>
            <w:tcW w:w="5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9"/>
        </w:trPr>
        <w:tc>
          <w:tcPr>
            <w:tcW w:w="52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Diluted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57"/>
        </w:trPr>
        <w:tc>
          <w:tcPr>
            <w:tcW w:w="5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30.82</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r>
      <w:tr>
        <w:trPr>
          <w:trHeight w:val="230"/>
        </w:trPr>
        <w:tc>
          <w:tcPr>
            <w:tcW w:w="52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Diluted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29.42</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r>
    </w:tbl>
    <w:p>
      <w:pPr>
        <w:spacing w:after="0" w:line="54" w:lineRule="exact"/>
        <w:rPr>
          <w:sz w:val="20"/>
          <w:szCs w:val="20"/>
          <w:color w:val="auto"/>
        </w:rPr>
      </w:pPr>
    </w:p>
    <w:p>
      <w:pPr>
        <w:ind w:right="80" w:firstLine="8"/>
        <w:spacing w:after="0" w:line="251" w:lineRule="auto"/>
        <w:tabs>
          <w:tab w:leader="none" w:pos="163"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For the three months ended April 3, 2026, 0.1 million weighted average outstanding awards were excluded from the calculation of diluted net income per share because their effect would have been anti-dilutive. For the nine months ended April 3, 2026, 0.1 million weighted average outstanding awards were excluded from the calculation of diluted net income per share because their effect would have been anti-dilutive. For the three and nine months ended March 28, 2025, the Company recorded a net loss. Accordingly, the potential dilution from all equity awards would be anti-dilutive. As a result, basic net loss per share is equal to diluted net loss per share for such periods.</w:t>
      </w:r>
    </w:p>
    <w:p>
      <w:pPr>
        <w:spacing w:after="0" w:line="76"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Basic net income (loss) per share is computed using (i) net income (loss) divided by (ii) weighted average basic shares outstanding. Diluted net income (loss) per share is computed as (i) net income (loss) divided by (ii) weighted average diluted shares outstanding. The treasury stock method is used to determine the dilutive impact of unvested equity awards.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Potentially dilutive shares include dilutive outstanding employee RSUs, PSUs, and rights to purchase shares of common stock under the ESPP.</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SANDISK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Income Tax Expense</w:t>
      </w:r>
    </w:p>
    <w:p>
      <w:pPr>
        <w:spacing w:after="0" w:line="121"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H.R. 1, more widely known as the One Big Beautiful Bill Act (“OBBBA”), was signed into law on July 4, 2025. It reversed the requirement for capitalization of U.S. research and development expenditures that came into law under the Tax Cuts and Jobs Act of 2017, but the mandatory requirement of capitalization of foreign research and development expenditures remains. The tax rates for income earned by the Company’s foreign subsidiaries are changed under H.R. 1, which applies to the Company’s fiscal years 2027 and onward. Depending on the Company’s operating results, these changes can materially impact the Company’s effective tax rate and its operating cash flows. During the nine months ended April 3, 2026, the Company recorded a $10 million tax benefit in relation to the OBBBA’s impact on its 2025 tax provision.</w:t>
      </w:r>
    </w:p>
    <w:p>
      <w:pPr>
        <w:spacing w:after="0" w:line="7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On August 16, 2022, the Inflation Reduction Act of 2022 was signed into law, which contained significant changes to laws related to tax, climate, energy, and health care. The tax measures include, among other things, a corporate alternative minimum tax (“CAMT”) of 15% on corporations with three-year average annual adjusted financial statement income (“AFSI”) exceeding $1.0 billion. The Company does not expect to be subject to the CAMT of 15% for fiscal year 2026 as its average annual AFSI did not exceed $1.0 billion for the preceding three-year period.</w:t>
      </w:r>
    </w:p>
    <w:p>
      <w:pPr>
        <w:spacing w:after="0" w:line="72"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On December 20, 2021, the Organisation for Economic Co-operation and Development G20 Inclusive Framework on Base Erosion and Profit Shifting released Model Global Anti-Base Erosion rules under Pillar Two (“Pillar Two”). Pillar Two is currently effective in most of the jurisdictions in which we operate. Accordingly, these taxes are included in the Company’s Income tax expense for the three and nine months ended April 3, 2026.</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Income tax expense and effective tax rate:</w:t>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2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20"/>
                <w:szCs w:val="20"/>
                <w:color w:val="auto"/>
              </w:rPr>
            </w:pPr>
          </w:p>
        </w:tc>
        <w:tc>
          <w:tcPr>
            <w:tcW w:w="270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47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410"/>
              <w:spacing w:after="0" w:line="169" w:lineRule="exact"/>
              <w:rPr>
                <w:sz w:val="20"/>
                <w:szCs w:val="20"/>
                <w:color w:val="auto"/>
              </w:rPr>
            </w:pPr>
            <w:r>
              <w:rPr>
                <w:rFonts w:ascii="Times New Roman" w:cs="Times New Roman" w:eastAsia="Times New Roman" w:hAnsi="Times New Roman"/>
                <w:sz w:val="18"/>
                <w:szCs w:val="18"/>
                <w:b w:val="1"/>
                <w:bCs w:val="1"/>
                <w:color w:val="auto"/>
              </w:rPr>
              <w:t>April 3,</w:t>
            </w:r>
          </w:p>
        </w:tc>
        <w:tc>
          <w:tcPr>
            <w:tcW w:w="2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March 28,</w:t>
            </w:r>
          </w:p>
        </w:tc>
        <w:tc>
          <w:tcPr>
            <w:tcW w:w="8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10"/>
              <w:spacing w:after="0" w:line="169" w:lineRule="exact"/>
              <w:rPr>
                <w:sz w:val="20"/>
                <w:szCs w:val="20"/>
                <w:color w:val="auto"/>
              </w:rPr>
            </w:pPr>
            <w:r>
              <w:rPr>
                <w:rFonts w:ascii="Times New Roman" w:cs="Times New Roman" w:eastAsia="Times New Roman" w:hAnsi="Times New Roman"/>
                <w:sz w:val="18"/>
                <w:szCs w:val="18"/>
                <w:b w:val="1"/>
                <w:bCs w:val="1"/>
                <w:color w:val="auto"/>
              </w:rPr>
              <w:t>April 3,</w:t>
            </w: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r>
      <w:tr>
        <w:trPr>
          <w:trHeight w:val="241"/>
        </w:trPr>
        <w:tc>
          <w:tcPr>
            <w:tcW w:w="4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4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3"/>
          </w:tcPr>
          <w:p>
            <w:pPr>
              <w:ind w:left="900"/>
              <w:spacing w:after="0"/>
              <w:rPr>
                <w:sz w:val="20"/>
                <w:szCs w:val="20"/>
                <w:color w:val="auto"/>
              </w:rPr>
            </w:pPr>
            <w:r>
              <w:rPr>
                <w:rFonts w:ascii="Times New Roman" w:cs="Times New Roman" w:eastAsia="Times New Roman" w:hAnsi="Times New Roman"/>
                <w:sz w:val="18"/>
                <w:szCs w:val="18"/>
                <w:i w:val="1"/>
                <w:iCs w:val="1"/>
                <w:color w:val="auto"/>
                <w:w w:val="99"/>
              </w:rPr>
              <w:t>(in millions)</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4,107</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(1,901)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5,168</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(1,461)</w:t>
            </w: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19"/>
                <w:szCs w:val="19"/>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492</w:t>
            </w:r>
          </w:p>
        </w:tc>
        <w:tc>
          <w:tcPr>
            <w:tcW w:w="280" w:type="dxa"/>
            <w:vAlign w:val="bottom"/>
          </w:tcPr>
          <w:p>
            <w:pPr>
              <w:spacing w:after="0"/>
              <w:rPr>
                <w:sz w:val="19"/>
                <w:szCs w:val="19"/>
                <w:color w:val="auto"/>
              </w:rPr>
            </w:pPr>
          </w:p>
        </w:tc>
        <w:tc>
          <w:tcPr>
            <w:tcW w:w="1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638</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184"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The relative mix of earnings and losses by jurisdiction, credits and tax holidays in Malaysia that will expire at various dates during years 2028 through 2031 resulted in decreases to the effective tax rate below the U.S. statutory rate for the three and nine months ended April 3, 2026.</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relative mix of earnings and losses by jurisdiction, the goodwill impairment, the deduction for foreign-derived intangible income, credits and tax holidays in Malaysia that will expire at various dates during years 2028 through 2031 resulted in decreases to the effective tax rate below the U.S. statutory rate for the three and nine months ended March 28, 2025.</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21"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With the exception of certain unrecognized tax benefits that are directly associated with the tax position taken, unrecognized tax benefits are presented gross in the Condensed Consolidated Balance Sheets.</w:t>
      </w:r>
    </w:p>
    <w:p>
      <w:pPr>
        <w:spacing w:after="0" w:line="54"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The following is a tabular reconciliation of the total amounts of unrecognized tax benefits, excluding accrued interest and penalties for the nine months ended April 3, 2026:</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jc w:val="right"/>
              <w:ind w:right="450"/>
              <w:spacing w:after="0"/>
              <w:rPr>
                <w:sz w:val="20"/>
                <w:szCs w:val="20"/>
                <w:color w:val="auto"/>
              </w:rPr>
            </w:pPr>
            <w:r>
              <w:rPr>
                <w:rFonts w:ascii="Times New Roman" w:cs="Times New Roman" w:eastAsia="Times New Roman" w:hAnsi="Times New Roman"/>
                <w:sz w:val="18"/>
                <w:szCs w:val="18"/>
                <w:i w:val="1"/>
                <w:iCs w:val="1"/>
                <w:color w:val="auto"/>
              </w:rPr>
              <w:t>(in millions)</w:t>
            </w:r>
          </w:p>
        </w:tc>
      </w:t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 balance at June 27, 2025</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r>
      <w:tr>
        <w:trPr>
          <w:trHeight w:val="23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 related to prior year tax positions</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increases related to current year tax positions</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decrease related to prior year tax positions</w:t>
            </w: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 balance at April 3, 2026</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As of April 3, 2026 and June 27, 2025, the liability for unrecognized tax benefits (excluding accrued interest and penalties) was $253 million and $140 million, respectively. Interest and penalties related to unrecognized tax benefits are recognized in liabilities recorded for uncertain tax positions and are recorded in the provision for income taxes. Accrued interest and penalties included in the Company’s liability related to unrecognized tax benefits as of April 3, 2026 and June 27, 2025 was $15 million and $11 million, respectively.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Company believes that adequate provision has been made for any adjustments that may result from any other tax examinations. However, the outcome of such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Any significant change in the amount of the Company’s liability for unrecognized tax benefits would most likely result from additional information relating to the examination of the Company’s tax returns.</w:t>
      </w:r>
    </w:p>
    <w:p>
      <w:pPr>
        <w:spacing w:after="0" w:line="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legal proceedings, lawsuits and other claims. Although the ultimate aggregate amount of reasonably possible monetary liability or financial impact with respect to these other matters is subject to many uncertainties, management believes that any monetary liability or financial impact to the Company from these matters, individually and in the aggregate, would not be material to the Company’s financial condition, results of operations or cash flows. However, any monetary liability and financial impact to the Company from these matters could differ materially from the Company’s expectations.</w:t>
      </w:r>
    </w:p>
    <w:p>
      <w:pPr>
        <w:spacing w:after="0" w:line="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16.</w:t>
        <w:tab/>
        <w:t>Subsequent Events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April 8, 2026, the Company satisfied its payment obligation under the Equity Investment Agreement with Nanya by remitting the purchase price of $972 million to fully subscribe for 138,685,000 shares of Nanya, that were received on April 28, 2026, upon completion of the share issuance procedures as set forth in the Equity Investment Agreement.</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April 30, 2026, the Company announced that its Board of Directors had approved a $6 billion (exclusive of fees and commissions) share</w:t>
      </w:r>
    </w:p>
    <w:p>
      <w:pPr>
        <w:spacing w:after="0" w:line="3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repurchase program (the “Repurchase Program”). The acquisition of shares under the Repurchase Program may be effected from time to time through open market purchases (including under a plan adopted pursuant to Rule 10b5-1 promulgated under the Securities Exchange Act of 1934) or other methods of acquiring shares, in each case on such terms and at such times as shall be permitted by applicable securities laws and determined by the Company’s</w:t>
      </w:r>
    </w:p>
    <w:p>
      <w:pPr>
        <w:spacing w:after="0" w:line="1" w:lineRule="exact"/>
        <w:rPr>
          <w:sz w:val="20"/>
          <w:szCs w:val="20"/>
          <w:color w:val="auto"/>
        </w:rPr>
      </w:pPr>
    </w:p>
    <w:p>
      <w:pPr>
        <w:jc w:val="both"/>
        <w:ind w:right="160"/>
        <w:spacing w:after="0" w:line="297" w:lineRule="auto"/>
        <w:rPr>
          <w:sz w:val="20"/>
          <w:szCs w:val="20"/>
          <w:color w:val="auto"/>
        </w:rPr>
      </w:pPr>
      <w:r>
        <w:rPr>
          <w:rFonts w:ascii="Times New Roman" w:cs="Times New Roman" w:eastAsia="Times New Roman" w:hAnsi="Times New Roman"/>
          <w:sz w:val="18"/>
          <w:szCs w:val="18"/>
          <w:color w:val="auto"/>
        </w:rPr>
        <w:t>management. The Company expects shares repurchased under the Repurchase Program to be funded by operating cash flows. The amount and timing of share repurchases will depend on market conditions and other relevant factors. The Company may suspend or discontinue the Repurchase Program at any time. The approval of the Repurchase Program does not obligate the Company to repurchase any common shares.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Consolidated Financial Statements and the notes thereto included in this Quarterly Report on Form 10-Q and the audited Consolidated Financial Statements and notes thereto for the fiscal year ended June 27, 2025, included in our Annual Report on Form 10-K. See also “Forward-Looking Statements” immediately prior to Part I, Item 1 in this Quarterly Report on Form 10-Q.</w:t>
      </w:r>
    </w:p>
    <w:p>
      <w:pPr>
        <w:spacing w:after="0" w:line="75"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requires, references herein to specific years and quarters are to our fiscal years and fiscal quarters. As used herein, the terms “we,” “us,” “our,” and the “Company” refer to Sandisk Corporation and its subsidiaries.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Sandisk is a leading developer, manufacturer and provider of data storage devices and solutions based on NAND flash technology. With a differentiated innovation engine driving advancements in storage and semiconductor technologies, our broad and ever-expanding portfolio delivers powerful flash storage solutions for artificial intelligence (“AI”) workloads in datacenters, edge devices, and consumer applications. Our technologies enable everyone from students, gamers, and home offices to the largest enterprises and public clouds to produce, analyze, and store data. Our solutions include a broad range of solid-state drives (“SSD”), embedded products, removable cards, universal serial bus drives and wafers and components. Our broad portfolio of technology and products addresses multiple end markets of “Datacenter” (formerly referred to as “Cloud”), “Edge” (formerly referred to as “Client”), and “Consumer.”</w:t>
      </w:r>
    </w:p>
    <w:p>
      <w:pPr>
        <w:spacing w:after="0" w:line="81"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Datacenter end market is comprised primarily of products for datacenters, cloud service providers, and private cloud customers. Through the Edge end market, we provide our original equipment manufacturer (“OEM”) and channel customers a broad array of high-performance flash solutions across personal computer, mobile, gaming, automotive, virtual reality headsets, at-home entertainment, and industrial spaces. The Consumer end market is highlighted by our broad range of retail and other end-user products, which capitalize on the strength of our product brand recognition and vast points of presence around the world.</w:t>
      </w:r>
    </w:p>
    <w:p>
      <w:pPr>
        <w:spacing w:after="0" w:line="75" w:lineRule="exact"/>
        <w:rPr>
          <w:sz w:val="20"/>
          <w:szCs w:val="20"/>
          <w:color w:val="auto"/>
        </w:rPr>
      </w:pPr>
    </w:p>
    <w:p>
      <w:pPr>
        <w:jc w:val="both"/>
        <w:ind w:right="40" w:firstLine="486"/>
        <w:spacing w:after="0" w:line="289" w:lineRule="auto"/>
        <w:rPr>
          <w:sz w:val="20"/>
          <w:szCs w:val="20"/>
          <w:color w:val="auto"/>
        </w:rPr>
      </w:pPr>
      <w:r>
        <w:rPr>
          <w:rFonts w:ascii="Times New Roman" w:cs="Times New Roman" w:eastAsia="Times New Roman" w:hAnsi="Times New Roman"/>
          <w:sz w:val="17"/>
          <w:szCs w:val="17"/>
          <w:color w:val="auto"/>
        </w:rPr>
        <w:t>Our fiscal year ends on the Friday nearest to June 30 and typically consists of 52 weeks. Approximately every five to six years, we report a 53-week fiscal year to align the fiscal year with the foregoing policy. Fiscal year 2025, which ended on June 27, 2025, was comprised of 52 weeks, with each fiscal quarter consisting of 13 weeks. Fiscal year 2026 is comprised of 53 weeks and ends on July 3, 2026, with the first fiscal quarter consisting of 14 weeks.</w:t>
      </w:r>
    </w:p>
    <w:p>
      <w:pPr>
        <w:spacing w:after="0" w:line="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 Separation</w:t>
      </w:r>
    </w:p>
    <w:p>
      <w:pPr>
        <w:spacing w:after="0" w:line="121"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On October 30, 2023, Western Digital Corporation (“WDC”) announced that its board of directors (the “WDC Board of Directors”) authorized WDC management to pursue a plan to separate the Company into an independent public company (the “separation” or the “spin-off”). The separation received final approval by the WDC Board of Directors and was completed on February 21, 2025. Prior to February 21, 2025, the Company was wholly owned by WDC.</w:t>
      </w:r>
    </w:p>
    <w:p>
      <w:pPr>
        <w:spacing w:after="0" w:line="72"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On February 21, 2025, WDC executed the spin-off of the Company through WDC’s pro rata distribution of 116,035,464, or 80.1%, of the Company’s outstanding shares of common stock to holders of WDC’s common stock. Each WDC stockholder received one-third (1/3) of one share of the Company’s common stock for each share of WDC’s common stock held by such WDC stockholder as of February 12, 2025, the record date of the distribution. Upon completion of the separation, WDC owned 28,827,787, or 19.9%, of the outstanding shares of the Company’s common stock. Following the distribution, the Company became an independent publicly listed company, and on February 24, 2025, the Company began trading as an independent, publicly traded company under the stock symbol “SNDK” on Nasdaq.</w:t>
      </w:r>
    </w:p>
    <w:p>
      <w:pPr>
        <w:spacing w:after="0" w:line="7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On June 9, 2025, WDC disposed of 21,314,768, or 14.6%, of our common stock through an exchange of our common stock for WDC debt held by WDC creditors, which shares were sold by affiliates of the WDC creditors in a registered public offering by the Company. On February 18, 2026, WDC disposed of 5,821,135 outstanding shares of the Company through an exchange of Sandisk’s common stock for WDC debt held by WDC creditors, which shares were sold by affiliates of the WDC creditors in a registered public offering by us. All expenses for these offerings were paid for by us. Following this transaction, WDC continued to retain 1,691,884 of the outstanding shares of the Company’s common stock and, as of March 19, 2026, the sale of such shares is no longer subject to restriction.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 xml:space="preserve">Prior to the separation, the Company received financing from certain of WDC’s subsidiaries in the form of borrowings under revolving credit agreements and promissory notes to fund activities primarily related to Flash Ventures. Additional information regarding our outstanding notes due to (from) Western Digital Corporation is included in Part I, Item 1, Note 10, </w:t>
      </w:r>
      <w:r>
        <w:rPr>
          <w:rFonts w:ascii="Times New Roman" w:cs="Times New Roman" w:eastAsia="Times New Roman" w:hAnsi="Times New Roman"/>
          <w:sz w:val="18"/>
          <w:szCs w:val="18"/>
          <w:i w:val="1"/>
          <w:iCs w:val="1"/>
          <w:color w:val="auto"/>
        </w:rPr>
        <w:t>Related Parties and Related Commitments and Contingencies</w:t>
      </w:r>
      <w:r>
        <w:rPr>
          <w:rFonts w:ascii="Times New Roman" w:cs="Times New Roman" w:eastAsia="Times New Roman" w:hAnsi="Times New Roman"/>
          <w:sz w:val="18"/>
          <w:szCs w:val="18"/>
          <w:color w:val="auto"/>
        </w:rPr>
        <w:t xml:space="preserve"> of the Notes to Condensed Consolidated Financial Statements included in this Quarterly Report on Form 10-Q.</w:t>
      </w:r>
    </w:p>
    <w:p>
      <w:pPr>
        <w:spacing w:after="0" w:line="70"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 xml:space="preserve">As discussed in Part I, Item 1,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of the Notes to the Condensed Consolidated Financial Statements included in this Quarterly Report on Form 10-Q, on February 21, 2025, the Company entered into a loan agreement comprised of a seven-year Term Loan B facility in an aggregate principal amount of $2.0 billion (the “Term Loan Facility”) and a five-year revolving credit facility (the “Revolving Credit Facility”) in an aggregate principal amount of $1.5 billion, including up to $150 million for letters of credit.</w:t>
      </w:r>
    </w:p>
    <w:p>
      <w:pPr>
        <w:spacing w:after="0" w:line="74"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On February 21, 2025, the Company borrowed $2.0 billion under its Term Loan Facility. The Company used a portion of the proceeds of the borrowing to make a net distribution payment of $1.5 billion to WDC, with the remainder to be used for general corporate purposes of the Company. The proceeds of the Revolving Credit Facility may be used by the Company for working capital and general corporate purposes.</w:t>
      </w:r>
    </w:p>
    <w:p>
      <w:pPr>
        <w:spacing w:after="0" w:line="68"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On March 4, 2026, the Company settled in full the remaining outstanding principal amounts of the Term Loan Facility, plus accrued interest, using cash on hand. In connection with the early settlement of the Term Loan Facility, the Company recognized a loss on debt extinguishment of $46 million resulting from the write-off of the remaining unamortized issuance costs.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April 3, 2026, the Company has drawn no amounts under the Revolving Credit Facility.</w:t>
      </w:r>
    </w:p>
    <w:p>
      <w:pPr>
        <w:spacing w:after="0" w:line="1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Operational Update</w:t>
      </w:r>
    </w:p>
    <w:p>
      <w:pPr>
        <w:spacing w:after="0" w:line="121" w:lineRule="exact"/>
        <w:rPr>
          <w:sz w:val="20"/>
          <w:szCs w:val="20"/>
          <w:color w:val="auto"/>
        </w:rPr>
      </w:pPr>
    </w:p>
    <w:p>
      <w:pPr>
        <w:ind w:right="20" w:firstLine="486"/>
        <w:spacing w:after="0" w:line="277" w:lineRule="auto"/>
        <w:rPr>
          <w:sz w:val="20"/>
          <w:szCs w:val="20"/>
          <w:color w:val="auto"/>
        </w:rPr>
      </w:pPr>
      <w:r>
        <w:rPr>
          <w:rFonts w:ascii="Times New Roman" w:cs="Times New Roman" w:eastAsia="Times New Roman" w:hAnsi="Times New Roman"/>
          <w:sz w:val="17"/>
          <w:szCs w:val="17"/>
          <w:color w:val="auto"/>
        </w:rPr>
        <w:t>In the third quarter, we continued to observe that the rapid growth of AI infrastructure is driving demand for high-performance storage products, and AI adoption is driving the need for NAND storage to support these workloads, leading to increased revenues when compared to prior periods. The current demand environment has led to pricing shifts that have positively impacted our business, and we expect these favorable pricing trends to have a positive impact on our revenue and cash flows from operations. We expect these conditions to persist through calendar year 2026 and beyond. Accordingly, we expect to invest in, and allocate resources to, high-value opportunities for both the short-term and long-term benefit of our customers and the Company.</w:t>
      </w:r>
    </w:p>
    <w:p>
      <w:pPr>
        <w:spacing w:after="0" w:line="60"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The Trump Administration has made a number of changes in U.S. trade policy, including the imposition of tariffs under the authority of the International Emergency Economic Powers Act, which the U.S. Supreme Court found unlawful in February 2026, the creation of a refund process for such tariff duties, and the imposition of new tariffs under other statutory authorities. Currently, the majority of our products sold in the U.S. are exempt from tariffs, but additional tariff increases, or the loss of applicable exemptions, would increase the cost of goods sold for our products sold in the U.S., which could negatively impact our margins and financial performance. Increases in the price of our products in response to increased costs may adversely impact demand for those products in the U.S., which could also negatively impact our performance and financial results. Future trade policies and regulations in the U.S. and other countries, the terms of any trade arrangements that may be negotiated between the U.S. and other countries, the scope, amount, or duration of tariffs that may be imposed by any country, and the impact of these factors on our business are uncertain and may contribute to increased costs and reduced demand for our products, each of which could harm our financial performance.</w:t>
      </w:r>
    </w:p>
    <w:p>
      <w:pPr>
        <w:spacing w:after="0" w:line="80"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will continue to actively monitor developments impacting our business and may take additional responsive actions that we determine to be in the best interest of our business and stakeholders.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On February 21, 2025, the Company became a standalone publicly traded company, and its financial statements are now presented on a consolidated basis. Prior to the separation, the Company’s historical consolidated financial information was derived from WDC’s consolidated financial statements and accounting records and prepared as if the Company existed on a standalone basis. The financial statements for all periods presented, including the historical results of the Company prior to February 21, 2025, are now referred to as “Consolidated Financial Statements” and have been prepared in accordance with U.S. generally accepted accounting principles (“GAAP”) and the policies and practices that are generally accepted in the industry in which it operates, consistent with prior statements.</w:t>
      </w:r>
    </w:p>
    <w:p>
      <w:pPr>
        <w:spacing w:after="0" w:line="79"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following discussion reflects the Company’s financial condition and results of operations as set forth in the unaudited Condensed Consolidated Financial Statements included in this Quarterly Report on Form 10-Q.</w:t>
      </w:r>
    </w:p>
    <w:p>
      <w:pPr>
        <w:spacing w:after="0" w:line="54" w:lineRule="exact"/>
        <w:rPr>
          <w:sz w:val="20"/>
          <w:szCs w:val="20"/>
          <w:color w:val="auto"/>
        </w:rPr>
      </w:pPr>
    </w:p>
    <w:p>
      <w:pPr>
        <w:jc w:val="both"/>
        <w:ind w:right="320" w:firstLine="486"/>
        <w:spacing w:after="0" w:line="312" w:lineRule="auto"/>
        <w:rPr>
          <w:sz w:val="20"/>
          <w:szCs w:val="20"/>
          <w:color w:val="auto"/>
        </w:rPr>
      </w:pPr>
      <w:r>
        <w:rPr>
          <w:rFonts w:ascii="Times New Roman" w:cs="Times New Roman" w:eastAsia="Times New Roman" w:hAnsi="Times New Roman"/>
          <w:sz w:val="17"/>
          <w:szCs w:val="17"/>
          <w:color w:val="auto"/>
        </w:rPr>
        <w:t xml:space="preserve">For additional information, including a discussion of the basis of presentation for periods prior to and post separation, see Part I, Item 1, Note 1, </w:t>
      </w:r>
      <w:r>
        <w:rPr>
          <w:rFonts w:ascii="Times New Roman" w:cs="Times New Roman" w:eastAsia="Times New Roman" w:hAnsi="Times New Roman"/>
          <w:sz w:val="17"/>
          <w:szCs w:val="17"/>
          <w:i w:val="1"/>
          <w:iCs w:val="1"/>
          <w:color w:val="auto"/>
        </w:rPr>
        <w:t xml:space="preserve">Organization and Basis of Presentation </w:t>
      </w:r>
      <w:r>
        <w:rPr>
          <w:rFonts w:ascii="Times New Roman" w:cs="Times New Roman" w:eastAsia="Times New Roman" w:hAnsi="Times New Roman"/>
          <w:sz w:val="17"/>
          <w:szCs w:val="17"/>
          <w:color w:val="auto"/>
        </w:rPr>
        <w:t>of the Notes to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80" w:firstLine="486"/>
        <w:spacing w:after="0" w:line="283" w:lineRule="auto"/>
        <w:rPr>
          <w:sz w:val="20"/>
          <w:szCs w:val="20"/>
          <w:color w:val="auto"/>
        </w:rPr>
      </w:pPr>
      <w:r>
        <w:rPr>
          <w:rFonts w:ascii="Times New Roman" w:cs="Times New Roman" w:eastAsia="Times New Roman" w:hAnsi="Times New Roman"/>
          <w:sz w:val="18"/>
          <w:szCs w:val="18"/>
          <w:color w:val="auto"/>
        </w:rPr>
        <w:t>The following table sets forth, for the periods presented, selected summary information from our Condensed Consolidated Statements of Operations by U.S. dollars and percentage of net revenue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April 3, 2026</w:t>
            </w:r>
          </w:p>
        </w:tc>
        <w:tc>
          <w:tcPr>
            <w:tcW w:w="2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2"/>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March 28, 2025</w:t>
            </w: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(in millions, except percentages)</w:t>
            </w:r>
          </w:p>
        </w:tc>
        <w:tc>
          <w:tcPr>
            <w:tcW w:w="10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100.0 %</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  $</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4,255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380" w:type="dxa"/>
            <w:vAlign w:val="bottom"/>
            <w:tcBorders>
              <w:bottom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520" w:type="dxa"/>
            <w:vAlign w:val="bottom"/>
            <w:tcBorders>
              <w:bottom w:val="single" w:sz="8" w:color="CCEEFF"/>
            </w:tcBorders>
          </w:tcPr>
          <w:p>
            <w:pPr>
              <w:jc w:val="right"/>
              <w:ind w:right="370"/>
              <w:spacing w:after="0"/>
              <w:rPr>
                <w:sz w:val="20"/>
                <w:szCs w:val="20"/>
                <w:color w:val="auto"/>
              </w:rPr>
            </w:pPr>
            <w:r>
              <w:rPr>
                <w:rFonts w:ascii="Times New Roman" w:cs="Times New Roman" w:eastAsia="Times New Roman" w:hAnsi="Times New Roman"/>
                <w:sz w:val="18"/>
                <w:szCs w:val="18"/>
                <w:color w:val="auto"/>
              </w:rPr>
              <w:t>77.5</w:t>
            </w:r>
          </w:p>
        </w:tc>
        <w:tc>
          <w:tcPr>
            <w:tcW w:w="108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c>
          <w:tcPr>
            <w:tcW w:w="124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78.4</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5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22.5</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4,280</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0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5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16.8</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5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8.2</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5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108.0</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(1,830)</w:t>
            </w: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separation costs</w:t>
            </w: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5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0.5</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380" w:type="dxa"/>
            <w:vAlign w:val="bottom"/>
            <w:tcBorders>
              <w:bottom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520" w:type="dxa"/>
            <w:vAlign w:val="bottom"/>
            <w:tcBorders>
              <w:bottom w:val="single" w:sz="8" w:color="CCEEFF"/>
            </w:tcBorders>
          </w:tcPr>
          <w:p>
            <w:pPr>
              <w:jc w:val="right"/>
              <w:ind w:right="370"/>
              <w:spacing w:after="0"/>
              <w:rPr>
                <w:sz w:val="20"/>
                <w:szCs w:val="20"/>
                <w:color w:val="auto"/>
              </w:rPr>
            </w:pPr>
            <w:r>
              <w:rPr>
                <w:rFonts w:ascii="Times New Roman" w:cs="Times New Roman" w:eastAsia="Times New Roman" w:hAnsi="Times New Roman"/>
                <w:sz w:val="18"/>
                <w:szCs w:val="18"/>
                <w:color w:val="auto"/>
              </w:rPr>
              <w:t>133.5</w:t>
            </w:r>
          </w:p>
        </w:tc>
        <w:tc>
          <w:tcPr>
            <w:tcW w:w="108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(1,712)</w:t>
            </w:r>
          </w:p>
        </w:tc>
        <w:tc>
          <w:tcPr>
            <w:tcW w:w="124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69.1</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(111.0)</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5,992</w:t>
            </w: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30"/>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and other income (expense):</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5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0.4</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(0.9)</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(0.6)</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interest and other income (expense), net</w:t>
            </w: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tcBorders>
              <w:bottom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520" w:type="dxa"/>
            <w:vAlign w:val="bottom"/>
            <w:tcBorders>
              <w:bottom w:val="single" w:sz="8" w:color="CCEEFF"/>
            </w:tcBorders>
          </w:tcPr>
          <w:p>
            <w:pPr>
              <w:jc w:val="right"/>
              <w:ind w:right="310"/>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24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taxes</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69.0</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(112.1)</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6,008</w:t>
            </w: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380" w:type="dxa"/>
            <w:vAlign w:val="bottom"/>
            <w:tcBorders>
              <w:bottom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520" w:type="dxa"/>
            <w:vAlign w:val="bottom"/>
            <w:tcBorders>
              <w:bottom w:val="single" w:sz="8" w:color="CCEEFF"/>
            </w:tcBorders>
          </w:tcPr>
          <w:p>
            <w:pPr>
              <w:jc w:val="right"/>
              <w:ind w:right="370"/>
              <w:spacing w:after="0"/>
              <w:rPr>
                <w:sz w:val="20"/>
                <w:szCs w:val="20"/>
                <w:color w:val="auto"/>
              </w:rPr>
            </w:pPr>
            <w:r>
              <w:rPr>
                <w:rFonts w:ascii="Times New Roman" w:cs="Times New Roman" w:eastAsia="Times New Roman" w:hAnsi="Times New Roman"/>
                <w:sz w:val="18"/>
                <w:szCs w:val="18"/>
                <w:color w:val="auto"/>
              </w:rPr>
              <w:t>1.9</w:t>
            </w:r>
          </w:p>
        </w:tc>
        <w:tc>
          <w:tcPr>
            <w:tcW w:w="108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460</w:t>
            </w:r>
          </w:p>
        </w:tc>
        <w:tc>
          <w:tcPr>
            <w:tcW w:w="124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248"/>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3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60.7</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(114.0)</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5,548</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CCEEFF"/>
            </w:tcBorders>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871"/>
        </w:trPr>
        <w:tc>
          <w:tcPr>
            <w:tcW w:w="1280" w:type="dxa"/>
            <w:vAlign w:val="bottom"/>
            <w:tcBorders>
              <w:top w:val="single" w:sz="8" w:color="0000FF"/>
            </w:tcBorders>
          </w:tcPr>
          <w:p>
            <w:pPr>
              <w:spacing w:after="0"/>
              <w:rPr>
                <w:sz w:val="24"/>
                <w:szCs w:val="24"/>
                <w:color w:val="auto"/>
              </w:rPr>
            </w:pPr>
          </w:p>
        </w:tc>
        <w:tc>
          <w:tcPr>
            <w:tcW w:w="2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April 3, 2026</w:t>
            </w:r>
          </w:p>
        </w:tc>
        <w:tc>
          <w:tcPr>
            <w:tcW w:w="7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2"/>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March 28, 2025</w:t>
            </w: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12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rPr>
              <w:t>(in millions, except percentages)</w:t>
            </w:r>
          </w:p>
        </w:tc>
        <w:tc>
          <w:tcPr>
            <w:tcW w:w="10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11,283</w:t>
            </w:r>
          </w:p>
        </w:tc>
        <w:tc>
          <w:tcPr>
            <w:tcW w:w="6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100.0 %</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  $</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5,829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r>
      <w:tr>
        <w:trPr>
          <w:trHeight w:val="229"/>
        </w:trPr>
        <w:tc>
          <w:tcPr>
            <w:tcW w:w="3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6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color w:val="auto"/>
              </w:rPr>
              <w:t>38.9</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520" w:type="dxa"/>
            <w:vAlign w:val="bottom"/>
            <w:tcBorders>
              <w:bottom w:val="single" w:sz="8" w:color="CCEEFF"/>
            </w:tcBorders>
          </w:tcPr>
          <w:p>
            <w:pPr>
              <w:jc w:val="right"/>
              <w:ind w:right="370"/>
              <w:spacing w:after="0"/>
              <w:rPr>
                <w:sz w:val="20"/>
                <w:szCs w:val="20"/>
                <w:color w:val="auto"/>
              </w:rPr>
            </w:pPr>
            <w:r>
              <w:rPr>
                <w:rFonts w:ascii="Times New Roman" w:cs="Times New Roman" w:eastAsia="Times New Roman" w:hAnsi="Times New Roman"/>
                <w:sz w:val="18"/>
                <w:szCs w:val="18"/>
                <w:color w:val="auto"/>
              </w:rPr>
              <w:t>68.6</w:t>
            </w:r>
          </w:p>
        </w:tc>
        <w:tc>
          <w:tcPr>
            <w:tcW w:w="108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653</w:t>
            </w:r>
          </w:p>
        </w:tc>
        <w:tc>
          <w:tcPr>
            <w:tcW w:w="124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3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6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61.1</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5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31.4</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5,176</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302</w:t>
            </w:r>
          </w:p>
        </w:tc>
      </w:tr>
      <w:tr>
        <w:trPr>
          <w:trHeight w:val="209"/>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3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6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5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15.5</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133</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3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640" w:type="dxa"/>
            <w:vAlign w:val="bottom"/>
          </w:tcPr>
          <w:p>
            <w:pPr>
              <w:spacing w:after="0"/>
              <w:rPr>
                <w:sz w:val="19"/>
                <w:szCs w:val="19"/>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5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7.5</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3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5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33.6</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(1,830)</w:t>
            </w: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3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40" w:type="dxa"/>
            <w:vAlign w:val="bottom"/>
          </w:tcPr>
          <w:p>
            <w:pPr>
              <w:spacing w:after="0"/>
              <w:rPr>
                <w:sz w:val="19"/>
                <w:szCs w:val="19"/>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3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separation costs</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5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0.9</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3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Employee termination and other</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Pr>
          <w:p>
            <w:pPr>
              <w:spacing w:after="0"/>
              <w:rPr>
                <w:sz w:val="19"/>
                <w:szCs w:val="19"/>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5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0.1</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3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business divestiture</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(0.6)</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(129)</w:t>
            </w:r>
          </w:p>
        </w:tc>
      </w:tr>
      <w:tr>
        <w:trPr>
          <w:trHeight w:val="223"/>
        </w:trPr>
        <w:tc>
          <w:tcPr>
            <w:tcW w:w="38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6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color w:val="auto"/>
              </w:rPr>
              <w:t>13.6</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1520" w:type="dxa"/>
            <w:vAlign w:val="bottom"/>
            <w:tcBorders>
              <w:bottom w:val="single" w:sz="8" w:color="CCEEFF"/>
            </w:tcBorders>
          </w:tcPr>
          <w:p>
            <w:pPr>
              <w:jc w:val="right"/>
              <w:ind w:right="370"/>
              <w:spacing w:after="0"/>
              <w:rPr>
                <w:sz w:val="20"/>
                <w:szCs w:val="20"/>
                <w:color w:val="auto"/>
              </w:rPr>
            </w:pPr>
            <w:r>
              <w:rPr>
                <w:rFonts w:ascii="Times New Roman" w:cs="Times New Roman" w:eastAsia="Times New Roman" w:hAnsi="Times New Roman"/>
                <w:sz w:val="18"/>
                <w:szCs w:val="18"/>
                <w:color w:val="auto"/>
              </w:rPr>
              <w:t>57.0</w:t>
            </w:r>
          </w:p>
        </w:tc>
        <w:tc>
          <w:tcPr>
            <w:tcW w:w="108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(1,571)</w:t>
            </w:r>
          </w:p>
        </w:tc>
        <w:tc>
          <w:tcPr>
            <w:tcW w:w="124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6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47.5</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(25.6)</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6,747</w:t>
            </w: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(484)</w:t>
            </w:r>
          </w:p>
        </w:tc>
      </w:tr>
      <w:tr>
        <w:trPr>
          <w:trHeight w:val="229"/>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and other income (expense):</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5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0.2</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264</w:t>
            </w:r>
          </w:p>
        </w:tc>
      </w:tr>
      <w:tr>
        <w:trPr>
          <w:trHeight w:val="229"/>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40" w:type="dxa"/>
            <w:vAlign w:val="bottom"/>
          </w:tcPr>
          <w:p>
            <w:pPr>
              <w:spacing w:after="0"/>
              <w:rPr>
                <w:sz w:val="19"/>
                <w:szCs w:val="19"/>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(0.4)</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223</w:t>
            </w:r>
          </w:p>
        </w:tc>
      </w:tr>
      <w:tr>
        <w:trPr>
          <w:trHeight w:val="229"/>
        </w:trPr>
        <w:tc>
          <w:tcPr>
            <w:tcW w:w="3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6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(98)</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178</w:t>
            </w:r>
          </w:p>
        </w:tc>
      </w:tr>
      <w:tr>
        <w:trPr>
          <w:trHeight w:val="223"/>
        </w:trPr>
        <w:tc>
          <w:tcPr>
            <w:tcW w:w="38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interest and other income (expense), net</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6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520" w:type="dxa"/>
            <w:vAlign w:val="bottom"/>
            <w:tcBorders>
              <w:bottom w:val="single" w:sz="8" w:color="CCEEFF"/>
            </w:tcBorders>
          </w:tcPr>
          <w:p>
            <w:pPr>
              <w:jc w:val="right"/>
              <w:ind w:right="310"/>
              <w:spacing w:after="0"/>
              <w:rPr>
                <w:sz w:val="20"/>
                <w:szCs w:val="20"/>
                <w:color w:val="auto"/>
              </w:rPr>
            </w:pPr>
            <w:r>
              <w:rPr>
                <w:rFonts w:ascii="Times New Roman" w:cs="Times New Roman" w:eastAsia="Times New Roman" w:hAnsi="Times New Roman"/>
                <w:sz w:val="18"/>
                <w:szCs w:val="18"/>
                <w:color w:val="auto"/>
              </w:rPr>
              <w:t>(1.2)</w:t>
            </w:r>
          </w:p>
        </w:tc>
        <w:tc>
          <w:tcPr>
            <w:tcW w:w="108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(118)</w:t>
            </w:r>
          </w:p>
        </w:tc>
        <w:tc>
          <w:tcPr>
            <w:tcW w:w="124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179</w:t>
            </w:r>
          </w:p>
        </w:tc>
      </w:tr>
      <w:tr>
        <w:trPr>
          <w:trHeight w:val="223"/>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taxes</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6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45.9</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(26.8)</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6,629</w:t>
            </w: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(454)</w:t>
            </w:r>
          </w:p>
        </w:tc>
      </w:tr>
      <w:tr>
        <w:trPr>
          <w:trHeight w:val="230"/>
        </w:trPr>
        <w:tc>
          <w:tcPr>
            <w:tcW w:w="3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6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520" w:type="dxa"/>
            <w:vAlign w:val="bottom"/>
            <w:tcBorders>
              <w:bottom w:val="single" w:sz="8" w:color="CCEEFF"/>
            </w:tcBorders>
          </w:tcPr>
          <w:p>
            <w:pPr>
              <w:jc w:val="right"/>
              <w:ind w:right="370"/>
              <w:spacing w:after="0"/>
              <w:rPr>
                <w:sz w:val="20"/>
                <w:szCs w:val="20"/>
                <w:color w:val="auto"/>
              </w:rPr>
            </w:pPr>
            <w:r>
              <w:rPr>
                <w:rFonts w:ascii="Times New Roman" w:cs="Times New Roman" w:eastAsia="Times New Roman" w:hAnsi="Times New Roman"/>
                <w:sz w:val="18"/>
                <w:szCs w:val="18"/>
                <w:color w:val="auto"/>
              </w:rPr>
              <w:t>2.9</w:t>
            </w:r>
          </w:p>
        </w:tc>
        <w:tc>
          <w:tcPr>
            <w:tcW w:w="108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481</w:t>
            </w:r>
          </w:p>
        </w:tc>
        <w:tc>
          <w:tcPr>
            <w:tcW w:w="124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306</w:t>
            </w:r>
          </w:p>
        </w:tc>
      </w:tr>
      <w:tr>
        <w:trPr>
          <w:trHeight w:val="248"/>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6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40.2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(29.7)</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6,148</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(380)</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50"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 may not total due to rounding.</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for the periods presented, summary information regarding our disaggregated revenue: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20"/>
                <w:szCs w:val="20"/>
                <w:color w:val="auto"/>
              </w:rPr>
            </w:pPr>
          </w:p>
        </w:tc>
        <w:tc>
          <w:tcPr>
            <w:tcW w:w="254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69"/>
        </w:trPr>
        <w:tc>
          <w:tcPr>
            <w:tcW w:w="5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ind w:left="160"/>
              <w:spacing w:after="0" w:line="169" w:lineRule="exact"/>
              <w:rPr>
                <w:sz w:val="20"/>
                <w:szCs w:val="20"/>
                <w:color w:val="auto"/>
              </w:rPr>
            </w:pPr>
            <w:r>
              <w:rPr>
                <w:rFonts w:ascii="Times New Roman" w:cs="Times New Roman" w:eastAsia="Times New Roman" w:hAnsi="Times New Roman"/>
                <w:sz w:val="18"/>
                <w:szCs w:val="18"/>
                <w:b w:val="1"/>
                <w:bCs w:val="1"/>
                <w:color w:val="auto"/>
              </w:rPr>
              <w:t>April 3,</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April 3,</w:t>
            </w: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March 28,</w:t>
            </w:r>
          </w:p>
        </w:tc>
      </w:tr>
      <w:tr>
        <w:trPr>
          <w:trHeight w:val="241"/>
        </w:trPr>
        <w:tc>
          <w:tcPr>
            <w:tcW w:w="5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5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6"/>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by end market:</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57"/>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Datacenter</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8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57"/>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Edge</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r>
      <w:tr>
        <w:trPr>
          <w:trHeight w:val="256"/>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Consumer</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r>
      <w:tr>
        <w:trPr>
          <w:trHeight w:val="248"/>
        </w:trPr>
        <w:tc>
          <w:tcPr>
            <w:tcW w:w="5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by geography: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w:t>
            </w: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Americas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r>
      <w:tr>
        <w:trPr>
          <w:trHeight w:val="230"/>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r>
      <w:tr>
        <w:trPr>
          <w:trHeight w:val="248"/>
        </w:trPr>
        <w:tc>
          <w:tcPr>
            <w:tcW w:w="5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-1910715</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-1910715</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21"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Net revenue increased 251% in the three months ended April 3, 2026 from the comparable period in the prior year, primarily due to a 248% increase in average selling prices (“ASP”) per gigabyte. The exabytes sold remained flat from the comparable period in the prior year.</w:t>
      </w:r>
    </w:p>
    <w:p>
      <w:pPr>
        <w:spacing w:after="0" w:line="5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Net revenue increased 107% in the nine months ended April 3, 2026 from the comparable period in the prior year, primarily due to a 76% increase in ASP per gigabyte and an 18% increase in exabytes sold due to stronger demand for our data storage products.</w:t>
      </w:r>
    </w:p>
    <w:p>
      <w:pPr>
        <w:spacing w:after="0" w:line="54"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Datacenter revenue increased 645% in the three months ended April 3, 2026 from the comparable period in the prior year, primarily due to a 186% increase in ASP per gigabyte and a 160% increase in exabytes sold.</w:t>
      </w:r>
    </w:p>
    <w:p>
      <w:pPr>
        <w:spacing w:after="0" w:line="54"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Datacenter revenue increased 191% in the nine months ended April 3, 2026 from the comparable period in the prior year, primarily due to a 79% increase in exabytes sold and a 63% increase in ASP per gigabyte.</w:t>
      </w:r>
    </w:p>
    <w:p>
      <w:pPr>
        <w:spacing w:after="0" w:line="54" w:lineRule="exact"/>
        <w:rPr>
          <w:sz w:val="20"/>
          <w:szCs w:val="20"/>
          <w:color w:val="auto"/>
        </w:rPr>
      </w:pPr>
    </w:p>
    <w:p>
      <w:pPr>
        <w:ind w:right="560" w:firstLine="486"/>
        <w:spacing w:after="0" w:line="282" w:lineRule="auto"/>
        <w:rPr>
          <w:sz w:val="20"/>
          <w:szCs w:val="20"/>
          <w:color w:val="auto"/>
        </w:rPr>
      </w:pPr>
      <w:r>
        <w:rPr>
          <w:rFonts w:ascii="Times New Roman" w:cs="Times New Roman" w:eastAsia="Times New Roman" w:hAnsi="Times New Roman"/>
          <w:sz w:val="18"/>
          <w:szCs w:val="18"/>
          <w:color w:val="auto"/>
        </w:rPr>
        <w:t>Edge revenue increased 295% in the three months ended April 3, 2026 from the comparable period in the prior year, primarily due to a 343% increase in ASP per gigabyte, partially offset by a 10% decrease in exabytes sold.</w:t>
      </w:r>
    </w:p>
    <w:p>
      <w:pPr>
        <w:spacing w:after="0" w:line="54"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Edge revenue increased 123% in the nine months ended April 3, 2026 from the comparable period in the prior year, primarily due to a 99% increase in ASP per gigabyte and a 12% increase in exabytes sold.</w:t>
      </w:r>
    </w:p>
    <w:p>
      <w:pPr>
        <w:spacing w:after="0" w:line="54"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Consumer revenue increased 44% in the three months ended April 3, 2026 from the comparable period in the prior year, primarily due to a 139% increase in ASP per gigabyte, partially offset by a 40% decrease in exabytes sold.</w:t>
      </w:r>
    </w:p>
    <w:p>
      <w:pPr>
        <w:spacing w:after="0" w:line="54"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Consumer revenue increased 41% in the nine months ended April 3, 2026 from the comparable period in the prior year, primarily due to a 39% increase in ASP per gigabyte and a 2% increase in exabytes sold.</w:t>
      </w:r>
    </w:p>
    <w:p>
      <w:pPr>
        <w:spacing w:after="0" w:line="40"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The changes in net revenue by geography in the three and nine months ended April 3, 2026 from the comparable period in the prior year primarily reflected higher revenue in the Asia and Americas regions from Edge and Datacenter customers.</w:t>
      </w:r>
    </w:p>
    <w:p>
      <w:pPr>
        <w:spacing w:after="0" w:line="68" w:lineRule="exact"/>
        <w:rPr>
          <w:sz w:val="20"/>
          <w:szCs w:val="20"/>
          <w:color w:val="auto"/>
        </w:rPr>
      </w:pPr>
    </w:p>
    <w:p>
      <w:pPr>
        <w:ind w:right="60" w:firstLine="486"/>
        <w:spacing w:after="0" w:line="274" w:lineRule="auto"/>
        <w:rPr>
          <w:sz w:val="20"/>
          <w:szCs w:val="20"/>
          <w:color w:val="auto"/>
        </w:rPr>
      </w:pPr>
      <w:r>
        <w:rPr>
          <w:rFonts w:ascii="Times New Roman" w:cs="Times New Roman" w:eastAsia="Times New Roman" w:hAnsi="Times New Roman"/>
          <w:sz w:val="17"/>
          <w:szCs w:val="17"/>
          <w:color w:val="auto"/>
        </w:rPr>
        <w:t>Consistent with standard industry practice, we offer sales incentive and marketing programs that provide customers with price protection and other incentives or reimbursements that are recorded as a reduction to gross revenue. For the three months ended April 3, 2026 and March 28, 2025, these programs represented 12% and 19%, respectively, of gross revenues. For the nine months ended April 3, 2026 and March 28, 2025, these programs represented 13% and 19%, respectively, of gross revenues. The amounts attributed to our sales incentive and marketing programs generally vary according to several factors, including industry conditions, list pricing strategies, seasonal demand, competitor actions, channel mix and overall availability of products. Changes in future customer demand and market conditions may require us to adjust our incentive programs as a percentage of gross revenue.</w:t>
      </w:r>
    </w:p>
    <w:p>
      <w:pPr>
        <w:spacing w:after="0" w:line="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21"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Gross profit increased by $4,280 million and $5,176 million, respectively, for the three and nine months ended April 3, 2026 from the comparable period in the prior year, primarily due to a higher ASP and an increase in exabytes sold.</w:t>
      </w:r>
    </w:p>
    <w:p>
      <w:pPr>
        <w:spacing w:after="0" w:line="54"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Gross margin increased by 5,600 basis points and 3,000 basis points, respectively, for the three and nine months ended April 3, 2026 from the comparable period in the prior year, primarily due to a higher ASP and an increase in exabytes sold.</w:t>
      </w:r>
    </w:p>
    <w:p>
      <w:pPr>
        <w:spacing w:after="0" w:line="54"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 higher ASP was primarily driven by favorable pricing conditions in the industry. As a result, for the three and nine months ended April 3, 2026, the increase in ASP has outpaced the movement in costs per gigabyte.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expenses increased $52 million in the three months ended April 3, 2026 from the comparable period in the prior year, primarily due to a $42 million increase in compensation and benefits due to variable compensation associated with company performance and increased headcount and a $5 million increase in stock-based compensation.</w:t>
      </w:r>
    </w:p>
    <w:p>
      <w:pPr>
        <w:spacing w:after="0" w:line="68"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R&amp;D expenses increased $133 million in the nine months ended April 3, 2026 from the comparable period in the prior year, primarily due to an $88 million increase in compensation and benefits due to variable compensation associated with company performance and increased headcount, a $19 million increase in spending for R&amp;D projects as we continue to invest in innovation and a $15 million increase in stock-based compensation.</w:t>
      </w:r>
    </w:p>
    <w:p>
      <w:pPr>
        <w:spacing w:after="0" w:line="68"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increased $22 million in the three months ended April 3, 2026 from the comparable period in the prior year, primarily due to a $15 million increase in compensation and benefits, mainly due to variable compensation associated with company performance and increased headcount, and a $6 million increase in customer marketing engagements, offset by a $5 million decrease in materials due to a change in business practice for the launch of new products whereby the Company is distributing fewer free samples and has started entering into contracts to sell certain qualification units to customers. The costs of qualification units are recorded in inventory until sold to customers and recognized as cost of revenue. The change contributed to a decrease in materials and production costs classified as selling expenses when compared to the prior year period, partially offset by a $4 million increase in stock-based compensation.</w:t>
      </w:r>
    </w:p>
    <w:p>
      <w:pPr>
        <w:spacing w:after="0" w:line="8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increased $68 million in the nine months ended April 3, 2026 from the comparable period in the prior year, primarily due to a $43 million increase in compensation and benefits and employee-related costs mainly due to variable compensation associated with company performance and an increase in headcount, offset by a $35 million decrease in materials due to a change in business practice for the launch of new products whereby the Company is distributing fewer free samples and has started entering into contracts to sell certain qualification units to customers. The costs of qualification units are recorded in inventory until sold to customers and recognized as cost of revenue. The change contributed to a decrease in materials and production costs classified as selling expenses when compared to the prior year period, partially offset by a $22 million increase in customer marketing engagements, a $16 million increase in stock-based compensation and a $9 million increase in outside service costs supporting operations.</w:t>
      </w:r>
    </w:p>
    <w:p>
      <w:pPr>
        <w:spacing w:after="0" w:line="81"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Employee termination and other charges decreased $7 million in the nine months ended April 3, 2026 from the comparable period in the prior year as there were no restructuring actions taken in the current period.</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21"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Goodwill impairment decreased $1.8 billion in the three and nine months ended April 3, 2026 from the comparable period in the prior year. In the three and nine months ended March 28, 2025, we recorded an impairment charge resulting from the difference between the carrying value of our reporting unit and its fair value in the prior year. No such impairment charge was incurred during the current year.</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Loss on debt extinguishment</w:t>
      </w:r>
    </w:p>
    <w:p>
      <w:pPr>
        <w:spacing w:after="0" w:line="121"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Loss on debt extinguishment increased $46 million in the three and nine months ended April 3, 2026 from the comparable period in the prior year due to the write-off of the remaining unamortized issuance costs in connection with the early settlement of the Company’s Term Loan Facility.</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Business separation costs</w:t>
      </w:r>
    </w:p>
    <w:p>
      <w:pPr>
        <w:spacing w:after="0" w:line="121"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Business separation costs decreased $2 million in the three months ended April 3, 2026 from the comparable period in the prior year due to post-separation-related costs decreasing.</w:t>
      </w:r>
    </w:p>
    <w:p>
      <w:pPr>
        <w:spacing w:after="0" w:line="54"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Business separation costs decreased $25 million in the nine months ended April 3, 2026 from the comparable period in the prior year due to post-separation-related costs decreasing.</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(Gain) loss on business divestiture</w:t>
      </w:r>
    </w:p>
    <w:p>
      <w:pPr>
        <w:spacing w:after="0" w:line="108" w:lineRule="exact"/>
        <w:rPr>
          <w:sz w:val="20"/>
          <w:szCs w:val="20"/>
          <w:color w:val="auto"/>
        </w:rPr>
      </w:pPr>
    </w:p>
    <w:p>
      <w:pPr>
        <w:ind w:right="40" w:firstLine="486"/>
        <w:spacing w:after="0"/>
        <w:rPr>
          <w:sz w:val="20"/>
          <w:szCs w:val="20"/>
          <w:color w:val="auto"/>
        </w:rPr>
      </w:pPr>
      <w:r>
        <w:rPr>
          <w:rFonts w:ascii="Times New Roman" w:cs="Times New Roman" w:eastAsia="Times New Roman" w:hAnsi="Times New Roman"/>
          <w:sz w:val="18"/>
          <w:szCs w:val="18"/>
          <w:color w:val="auto"/>
        </w:rPr>
        <w:t xml:space="preserve">(Gain) loss on business divestiture decreased $44 million in the nine months ended April 3, 2026 from the comparable period in the prior year as a result of the closing of the sale of SDSS on September 28, 2024 and an amendment to the Amended and Restated Equity Purchase Agreement with JCET, related to our prior sale of SDSS, in the current period that resulted in a loss. On September 25, 2025, SanDisk China and JCET entered into an Amendment No. 1 to the Amended and Restated Equity Purchase Agreement that included a $10 million provision for working capital support, resulting in a reduction of the September 28, 2025 installment payment from JCET. The Company recognized the adjustment as a loss on business divestiture for the nine months ended April 3, 2026, as discussed in Part I, Item 1, </w:t>
      </w:r>
      <w:r>
        <w:rPr>
          <w:rFonts w:ascii="Times New Roman" w:cs="Times New Roman" w:eastAsia="Times New Roman" w:hAnsi="Times New Roman"/>
          <w:sz w:val="18"/>
          <w:szCs w:val="18"/>
          <w:i w:val="1"/>
          <w:iCs w:val="1"/>
          <w:color w:val="auto"/>
        </w:rPr>
        <w:t>Note 10, Related Parties and Related Commitments and Contingencies—Flash Ventures</w:t>
      </w:r>
      <w:r>
        <w:rPr>
          <w:rFonts w:ascii="Times New Roman" w:cs="Times New Roman" w:eastAsia="Times New Roman" w:hAnsi="Times New Roman"/>
          <w:sz w:val="18"/>
          <w:szCs w:val="18"/>
          <w:color w:val="auto"/>
        </w:rPr>
        <w:t xml:space="preserve"> of the Notes to the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p>
    <w:p>
      <w:pPr>
        <w:spacing w:after="0" w:line="121"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Interest and other income (expense), net decreased $16 million in the three months ended April 3, 2026 from the comparable period in the prior year, primarily due a decrease in interest expense from our Term Loan Facility, and the impairment of an investment, partially offset by an increase in interest income related to cash and investment accounts.</w:t>
      </w:r>
    </w:p>
    <w:p>
      <w:pPr>
        <w:spacing w:after="0" w:line="68"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Interest and other income (expense), net increased $118 million in the nine months ended April 3, 2026 from the comparable period in the prior year, primarily due to the settlement of certain non-operating legal matters, an increase in interest expense from our Term Loan Facility, and the impairment of an investment, partially offset by an increase in interest income related to cash and investment accounts and a gain on sale of investment.</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H.R. 1, more widely known as the One Big Beautiful Bill Act (“OBBBA”), was signed into law on July 4, 2025. It reversed the requirement for capitalization of U.S. research and development expenditures that came into law under the Tax Cuts and Jobs Act of 2017, but the mandatory requirement of capitalization of foreign research and development expenditures remains. The tax rates for income earned by our foreign subsidiaries will also be changed under H.R. 1, which applies to our fiscal years 2027 and onward. Depending on our operating results, these changes can materially impact our effective tax rate and operating cash flows. During the nine months ended April 3, 2026, we recorded a $10 million tax benefit in relation to the OBBBA’s impact on the Company’s 2025 tax provision.</w:t>
      </w:r>
    </w:p>
    <w:p>
      <w:pPr>
        <w:spacing w:after="0" w:line="7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On August 16, 2022, the Inflation Reduction Act of 2022 was signed into law, which contained significant changes to laws related to tax, climate, energy, and health care. The tax measures include, among other things, a corporate alternative minimum tax (“CAMT”) of 15% on corporations with three-year average annual adjusted financial statement income (“AFSI”) exceeding $1.0 billion. We do not expect to be subject to the CAMT of 15% for fiscal year 2026 as our average annual AFSI did not exceed $1.0 billion for the preceding three-year period.</w:t>
      </w:r>
    </w:p>
    <w:p>
      <w:pPr>
        <w:spacing w:after="0" w:line="72"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On December 20, 2021, the Organisation for Economic Co-operation and Development G20 Inclusive Framework on Base Erosion and Profit Shifting released Model Global Anti-Base Erosion rules under Pillar Two (“Pillar Two”). Pillar Two is currently effective in most of the jurisdictions in which we operate. Accordingly, these taxes are included in the Company’s Income tax expense for the three and nine months ended April 3, 2026.</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Income tax expense and the effective tax rate: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0"/>
                <w:szCs w:val="20"/>
                <w:color w:val="auto"/>
              </w:rPr>
            </w:pPr>
          </w:p>
        </w:tc>
        <w:tc>
          <w:tcPr>
            <w:tcW w:w="294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3"/>
        </w:trPr>
        <w:tc>
          <w:tcPr>
            <w:tcW w:w="49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April 3, 2026</w:t>
            </w: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March 28, 2025</w:t>
            </w:r>
          </w:p>
        </w:tc>
        <w:tc>
          <w:tcPr>
            <w:tcW w:w="10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April 3, 2026</w:t>
            </w: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28, 2025</w:t>
            </w:r>
          </w:p>
        </w:tc>
      </w:tr>
      <w:tr>
        <w:trPr>
          <w:trHeight w:val="223"/>
        </w:trPr>
        <w:tc>
          <w:tcPr>
            <w:tcW w:w="4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gridSpan w:val="4"/>
          </w:tcPr>
          <w:p>
            <w:pPr>
              <w:ind w:left="100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taxes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4,107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5,168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(1,461)</w:t>
            </w:r>
          </w:p>
        </w:tc>
      </w:tr>
      <w:tr>
        <w:trPr>
          <w:trHeight w:val="23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492</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638</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157</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The relative mix of earnings and losses by jurisdiction, credits and tax holidays in Malaysia that will expire at various dates during years 2028 through 2031 resulted in decreases to the effective tax rate below the U.S. statutory rate for the three and nine months ended April 3, 2026.</w:t>
      </w:r>
    </w:p>
    <w:p>
      <w:pPr>
        <w:spacing w:after="0" w:line="52" w:lineRule="exact"/>
        <w:rPr>
          <w:sz w:val="20"/>
          <w:szCs w:val="20"/>
          <w:color w:val="auto"/>
        </w:rPr>
      </w:pPr>
    </w:p>
    <w:p>
      <w:pPr>
        <w:ind w:right="880" w:firstLine="486"/>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regarding income tax expense, see Part I, Item 1, Note 14,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xml:space="preserve"> of the Notes to the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Condensed Consolidated Statements of Cash Flows for the periods ended April 3, 2026 and March 28,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4"/>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3"/>
        </w:trPr>
        <w:tc>
          <w:tcPr>
            <w:tcW w:w="7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April 3, 2026</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28, 2025</w:t>
            </w:r>
          </w:p>
        </w:tc>
      </w:tr>
      <w:tr>
        <w:trPr>
          <w:trHeight w:val="223"/>
        </w:trPr>
        <w:tc>
          <w:tcPr>
            <w:tcW w:w="7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40" w:type="dxa"/>
            <w:vAlign w:val="bottom"/>
            <w:gridSpan w:val="4"/>
          </w:tcPr>
          <w:p>
            <w:pPr>
              <w:jc w:val="right"/>
              <w:ind w:right="1490"/>
              <w:spacing w:after="0"/>
              <w:rPr>
                <w:sz w:val="20"/>
                <w:szCs w:val="20"/>
                <w:color w:val="auto"/>
              </w:rPr>
            </w:pPr>
            <w:r>
              <w:rPr>
                <w:rFonts w:ascii="Times New Roman" w:cs="Times New Roman" w:eastAsia="Times New Roman" w:hAnsi="Times New Roman"/>
                <w:sz w:val="18"/>
                <w:szCs w:val="18"/>
                <w:i w:val="1"/>
                <w:iCs w:val="1"/>
                <w:color w:val="auto"/>
              </w:rPr>
              <w:t>(in millions)</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29"/>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1"/>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40" w:firstLine="486"/>
        <w:spacing w:after="0" w:line="282" w:lineRule="auto"/>
        <w:rPr>
          <w:sz w:val="20"/>
          <w:szCs w:val="20"/>
          <w:color w:val="auto"/>
        </w:rPr>
      </w:pPr>
      <w:r>
        <w:rPr>
          <w:rFonts w:ascii="Times New Roman" w:cs="Times New Roman" w:eastAsia="Times New Roman" w:hAnsi="Times New Roman"/>
          <w:sz w:val="18"/>
          <w:szCs w:val="18"/>
          <w:color w:val="auto"/>
        </w:rPr>
        <w:t>In alignment with market conditions, we maintained what we believe to be a conservative capital expenditure strategy for fiscal year 2025. For fiscal year 2026, we increased our capital investments as we transition to newer nodes to meet the demand and technology needs of our product portfolio.</w:t>
      </w:r>
    </w:p>
    <w:p>
      <w:pPr>
        <w:spacing w:after="0" w:line="54"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 xml:space="preserve">We believe our cash and cash equivalents will be sufficient to meet our working capital and, capital expenditure needs, as well as to fund any repurchases of our shares under the Repurchase Program, for at least the next twelve months and for the foreseeable future thereafter. We believe we can also access the various capital markets to further supplement our liquidity position if necessary. Our ability to sustain our working capital position is subject to a number of risks that we discuss under the heading “Risk Factors” included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included in our Annual Report on Form 10-K.</w:t>
      </w:r>
    </w:p>
    <w:p>
      <w:pPr>
        <w:spacing w:after="0" w:line="75"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A total of $2,001 million and $692 million of our cash and cash equivalents were held outside of the U.S. as of April 3, 2026 and June 27, 2025, respectively. There are no material tax consequences that were not previously accrued for the repatriation of this cash. Our cash equivalents are primarily invested in money market funds that invest in U.S. Treasury securities and U.S. Government agency securities.</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primarily consists of net income or loss, adjusted for non-cash charges, plus or minus changes in operating assets and liabilities. Net cash used as a result of changes in operating assets and liabilities was $396 million in the nine months ended April 3, 2026, as compared to $436 million net cash used in the nine months ended March 28, 2025, reflecting an increase in the volume of our business, as discussed above.</w:t>
      </w:r>
    </w:p>
    <w:p>
      <w:pPr>
        <w:spacing w:after="0" w:line="68"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Changes in our operating assets and liabilities are largely affected by our working capital requirements, which are dependent on the volume of our business and the effective management of our cash conversion cycle as well as timing of payments for taxes. Our cash conversion cycle measures how quickly we can convert our products into cash through sales. The cash conversion cycles were as follows (in days):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80" w:type="dxa"/>
            <w:vAlign w:val="bottom"/>
          </w:tcPr>
          <w:p>
            <w:pPr>
              <w:spacing w:after="0"/>
              <w:rPr>
                <w:sz w:val="20"/>
                <w:szCs w:val="20"/>
                <w:color w:val="auto"/>
              </w:rPr>
            </w:pPr>
          </w:p>
        </w:tc>
        <w:tc>
          <w:tcPr>
            <w:tcW w:w="296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23"/>
        </w:trPr>
        <w:tc>
          <w:tcPr>
            <w:tcW w:w="8280" w:type="dxa"/>
            <w:vAlign w:val="bottom"/>
          </w:tcPr>
          <w:p>
            <w:pPr>
              <w:spacing w:after="0"/>
              <w:rPr>
                <w:sz w:val="19"/>
                <w:szCs w:val="19"/>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April 3, 2026</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28, 2025</w:t>
            </w:r>
          </w:p>
        </w:tc>
      </w:tr>
      <w:tr>
        <w:trPr>
          <w:trHeight w:val="223"/>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Days sales outstanding</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in inventory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Days payable outstanding</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conversion cycle</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0"/>
        </w:trPr>
        <w:tc>
          <w:tcPr>
            <w:tcW w:w="8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Changes in days sales outstanding, or DSO, are generally due to the timing of shipments. Changes in days in inventory, or DIO, are generally related to the timing of inventory builds. Changes in days payables outstanding, or DPO,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payment term modifications through negotiations with our vendors or by granting to, or receiving from, our vendors’ payment term accommodations.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For the three months ended April 3, 2026, DSO decreased 11 days primarily due to higher revenue during the period and continued strong receivables collections. During the three months ended April 3, 2026, DIO increased 8 days over the three months ended March 28, 2025, primarily due to inventory builds to meet demand. DPO increased 7 days over the comparable period in the prior year, primarily due to routine variations in the timing of purchases and payments during the period.</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in the nine months ended April 3, 2026 primarily consisted of $165 million in net issuances from activity related to Flash Ventures and $134 million in capital expenditures, partially offset by $25 million in net proceeds from our sale of a majority interest in one of our subsidiaries. Net cash provided by investing activities in the nine months ended March 28, 2025 primarily consisted of $401 million in net proceeds from our sale of a majority interest in one of our subsidiaries and $330 million in net proceeds from activity related to Flash Ventures, partially offset by $159 million in capital expenditures.</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220" w:firstLine="486"/>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in the nine months ended April 3, 2026 primarily consisted of Term Loan Facility repayments totaling $1,900 million and $149 million of taxes paid on vested stock awards, partially offset by $24 million in stock issuances under employee stock plans. Net cash provided by financing activities in the nine months ended March 28, 2025 primarily consisted of $1,970 million in proceeds from borrowings from the Term Loan Facility, $550 million in proceeds from borrowings on notes due to WDC, and $101 million in proceeds from repayments on notes due from WDC, partially offset by $1,887 million transferred from WDC, $76 million in net repayments on notes due to WDC and a $32 million debt issuance discount.</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Other than the Flash Ventures, SDSS and Nanya-related commitments incurred in the normal course of business and certain indemnification provisions (see “Short-and-Long-term Liquidity — Purchase Obligations and Other Commitments” below), we do not have any other material off-balance sheet financing arrangements or liabilities, guarantee contracts, retained or contingent interests in transferred assets, or any other obligations arising out of a material variable interest in an unconsolidated entity. We do not have any majority-owned subsidiaries that are not included in the Condensed Consolidated Financial Statements. Additionally, with the exception of Flash Ventures, the SDSS Venture, and the Unis Venture, we do not have an interest in, or relationships with, any variable interest entities. For additional information regarding our off-balance sheet arrangements, see Part I, Item 1, Note 10, </w:t>
      </w:r>
      <w:r>
        <w:rPr>
          <w:rFonts w:ascii="Times New Roman" w:cs="Times New Roman" w:eastAsia="Times New Roman" w:hAnsi="Times New Roman"/>
          <w:sz w:val="18"/>
          <w:szCs w:val="18"/>
          <w:i w:val="1"/>
          <w:iCs w:val="1"/>
          <w:color w:val="auto"/>
        </w:rPr>
        <w:t xml:space="preserve">Related Parties and Related Commitments and Contingencies </w:t>
      </w:r>
      <w:r>
        <w:rPr>
          <w:rFonts w:ascii="Times New Roman" w:cs="Times New Roman" w:eastAsia="Times New Roman" w:hAnsi="Times New Roman"/>
          <w:sz w:val="18"/>
          <w:szCs w:val="18"/>
          <w:color w:val="auto"/>
        </w:rPr>
        <w:t>of the Notes to the Condensed Consolidated Financial Statements included in this Quarterly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on Form 10-Q.</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Short-and-Long-term Liquidity</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 as of April 3, 2026</w:t>
      </w:r>
    </w:p>
    <w:p>
      <w:pPr>
        <w:spacing w:after="0" w:line="121"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following is a summary of our known material cash requirements, including those for capital expenditures, as of April 3, 2026. In addition, see the discussions further below related to unrecognized tax benefits, foreign exchange contracts and indemnifications to address other material cash requirements discussed below that are not included in the table: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Remaining three</w:t>
            </w: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2-3 Years (2027-</w:t>
            </w: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4-5 Years (2029-</w:t>
            </w:r>
          </w:p>
        </w:tc>
        <w:tc>
          <w:tcPr>
            <w:tcW w:w="14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More than 5</w:t>
            </w:r>
          </w:p>
        </w:tc>
        <w:tc>
          <w:tcPr>
            <w:tcW w:w="0" w:type="dxa"/>
            <w:vAlign w:val="bottom"/>
          </w:tcPr>
          <w:p>
            <w:pPr>
              <w:spacing w:after="0"/>
              <w:rPr>
                <w:sz w:val="1"/>
                <w:szCs w:val="1"/>
                <w:color w:val="auto"/>
              </w:rPr>
            </w:pPr>
          </w:p>
        </w:tc>
      </w:tr>
      <w:tr>
        <w:trPr>
          <w:trHeight w:val="175"/>
        </w:trPr>
        <w:tc>
          <w:tcPr>
            <w:tcW w:w="4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gridSpan w:val="3"/>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130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Years (Beyond</w:t>
            </w:r>
          </w:p>
        </w:tc>
        <w:tc>
          <w:tcPr>
            <w:tcW w:w="0" w:type="dxa"/>
            <w:vAlign w:val="bottom"/>
          </w:tcPr>
          <w:p>
            <w:pPr>
              <w:spacing w:after="0"/>
              <w:rPr>
                <w:sz w:val="1"/>
                <w:szCs w:val="1"/>
                <w:color w:val="auto"/>
              </w:rPr>
            </w:pPr>
          </w:p>
        </w:tc>
      </w:tr>
      <w:tr>
        <w:trPr>
          <w:trHeight w:val="243"/>
        </w:trPr>
        <w:tc>
          <w:tcPr>
            <w:tcW w:w="43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vMerge w:val="continue"/>
          </w:tcPr>
          <w:p>
            <w:pPr>
              <w:spacing w:after="0"/>
              <w:rPr>
                <w:sz w:val="21"/>
                <w:szCs w:val="21"/>
                <w:color w:val="auto"/>
              </w:rPr>
            </w:pPr>
          </w:p>
        </w:tc>
        <w:tc>
          <w:tcPr>
            <w:tcW w:w="14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months of 2026</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2030)</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2030)</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Flash Ventures related commitments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obligations and other commitments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 commitment </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12,793</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jc w:val="both"/>
        <w:ind w:firstLine="8"/>
        <w:spacing w:after="0" w:line="249" w:lineRule="auto"/>
        <w:tabs>
          <w:tab w:leader="none" w:pos="166"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Flash Ventures reimbursement for depreciation and lease payments on owned and committed equipment, funding commitments for loans and equity investments and payments for other committed expenses, including research and development and building depreciation and payments made directly to Kioxia in consideration for the manufacturing services and continued availability of supply. Funding commitments assume no additional operating lease guarantees. Additional operating lease guarantees can reduce funding commitments.</w:t>
      </w:r>
    </w:p>
    <w:p>
      <w:pPr>
        <w:spacing w:after="0" w:line="190" w:lineRule="exact"/>
        <w:rPr>
          <w:rFonts w:ascii="Times New Roman" w:cs="Times New Roman" w:eastAsia="Times New Roman" w:hAnsi="Times New Roman"/>
          <w:sz w:val="20"/>
          <w:szCs w:val="20"/>
          <w:color w:val="auto"/>
          <w:vertAlign w:val="superscript"/>
        </w:rPr>
      </w:pPr>
    </w:p>
    <w:p>
      <w:pPr>
        <w:ind w:right="200" w:firstLine="8"/>
        <w:spacing w:after="0" w:line="275" w:lineRule="auto"/>
        <w:tabs>
          <w:tab w:leader="none" w:pos="149"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April 8, 2026, the Company satisfied its payment obligation under the Private Placement Subscription Agreement (the “Equity Investment Agreement”) with Nanya Technology Corporation (“Nanya”) by remitting the purchase price of $972 million to fully subscribe for 138,685,000 shares of Nanya, that were received on April 28, 2026, upon completion of the share issuance procedures, as set forth in the Equity Investment Agreement.</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separation, on February 21, 2025, the Company entered into a loan agreement comprised of a $1.5 billion revolving credit facility, which was undrawn at the separation date, and a $2.0 billion term loan facility (the “Term Loan Facility”) due in 2032. The Company used a portion of the proceeds received from the Term Loan Facility, as well as cash on hand, to make a net distribution payment of $1.5 billion to WDC in exchange for assets, liabilities and certain legal entities of WDC associated with the Company.</w:t>
      </w:r>
    </w:p>
    <w:p>
      <w:pPr>
        <w:spacing w:after="0" w:line="72"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On March 4, 2026, the Company settled in full the remaining outstanding principal amounts of the Term Loan Facility, plus accrued interest, using cash on hand. In connection with the early settlement of the Term Loan Facility, the Company recognized a loss on debt extinguishment of $46 million resulting from the write-off of the remaining unamortized issuance costs.</w:t>
      </w:r>
    </w:p>
    <w:p>
      <w:pPr>
        <w:spacing w:after="0" w:line="68"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As of April 3, 2026, the Company was in compliance with the loan agreement financial covenant that prohibits the Company from exceeding a maximum Leverage Ratio. Additional information regarding our indebtedness, including information about availability under our revolving credit facility and the principal repayment terms, interest rates, covenants, collateral and other key terms of our outstanding indebtedness, is included in Part I, Item 1,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of the Notes to Condensed Consolidated Financial Statements included in this Quarterly Report on Form 10-Q.</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Flash Ventures</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Flash Ventures sells to, and leases back from, a consortium of financial institutions a portion of its tools and has entered into equipment lease agreements, of which we guarantee half of all of the outstanding obligations under each lease agreement. The leases are subject to customary covenants and cancellation events that relate to Flash Ventures and each of the guarantors. The occurrence of a cancellation event could result in an acceleration of the lease obligations and a call on our guarantees. As of April 3, 2026, we were in compliance with all covenants under these Japanese lease facilities. See Part I, Item 1, Note 10, </w:t>
      </w:r>
      <w:r>
        <w:rPr>
          <w:rFonts w:ascii="Times New Roman" w:cs="Times New Roman" w:eastAsia="Times New Roman" w:hAnsi="Times New Roman"/>
          <w:sz w:val="18"/>
          <w:szCs w:val="18"/>
          <w:i w:val="1"/>
          <w:iCs w:val="1"/>
          <w:color w:val="auto"/>
        </w:rPr>
        <w:t>Related Parties and Related Commitments and Contingencies</w:t>
      </w:r>
      <w:r>
        <w:rPr>
          <w:rFonts w:ascii="Times New Roman" w:cs="Times New Roman" w:eastAsia="Times New Roman" w:hAnsi="Times New Roman"/>
          <w:sz w:val="18"/>
          <w:szCs w:val="18"/>
          <w:color w:val="auto"/>
        </w:rPr>
        <w:t xml:space="preserve"> of the Notes to the Condensed Consolidated Financial Statements included in this Quarterly Report on Form 10-Q for information regarding Flash Ventures.</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 and Other Commitments</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enter into purchase orders with suppliers for the purchase of components used to manufacture our products. These purchase orders generally cover forecasted component supplies needed for production during the next quarter, are recorded as a liability upon receipt of the components, and generally may be changed or canceled at any time prior to shipment of the components. We also enter into long-term agreements with suppliers that contain fixed future commitments, which are contingent on certain conditions such as performance, quality and technology of the vendor’s components. These arrangements are included under “Purchase obligations and other commitments” in the table above.</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121"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As of April 3, 2026, our liability for unrecognized tax benefits (excluding accrued interest and penalties) was approximately $253 million. Accrued interest and penalties included in the Company’s liability related to unrecognized tax benefits as of April 3, 2026 and June 27, 2025 was $15 million and $11 million, respectively. Of these amounts, approximately $244 million could result in potential cash payments.</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Contracts</w:t>
      </w:r>
    </w:p>
    <w:p>
      <w:pPr>
        <w:spacing w:after="0" w:line="121" w:lineRule="exact"/>
        <w:rPr>
          <w:sz w:val="20"/>
          <w:szCs w:val="20"/>
          <w:color w:val="auto"/>
        </w:rPr>
      </w:pPr>
    </w:p>
    <w:p>
      <w:pPr>
        <w:ind w:right="360" w:firstLine="486"/>
        <w:spacing w:after="0" w:line="266" w:lineRule="auto"/>
        <w:rPr>
          <w:sz w:val="20"/>
          <w:szCs w:val="20"/>
          <w:color w:val="auto"/>
        </w:rPr>
      </w:pPr>
      <w:r>
        <w:rPr>
          <w:rFonts w:ascii="Times New Roman" w:cs="Times New Roman" w:eastAsia="Times New Roman" w:hAnsi="Times New Roman"/>
          <w:sz w:val="18"/>
          <w:szCs w:val="18"/>
          <w:color w:val="auto"/>
        </w:rPr>
        <w:t xml:space="preserve">We purchase foreign exchange contracts to hedge the impact of foreign currency fluctuations on certain underlying assets, liabilities and commitments for operating expenses and product costs denominated in foreign currencies. See Part I, Item 3, </w:t>
      </w:r>
      <w:r>
        <w:rPr>
          <w:rFonts w:ascii="Times New Roman" w:cs="Times New Roman" w:eastAsia="Times New Roman" w:hAnsi="Times New Roman"/>
          <w:sz w:val="18"/>
          <w:szCs w:val="18"/>
          <w:i w:val="1"/>
          <w:iCs w:val="1"/>
          <w:color w:val="auto"/>
        </w:rPr>
        <w:t>Quantitative and Qualitative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About Market Risk </w:t>
      </w:r>
      <w:r>
        <w:rPr>
          <w:rFonts w:ascii="Times New Roman" w:cs="Times New Roman" w:eastAsia="Times New Roman" w:hAnsi="Times New Roman"/>
          <w:sz w:val="18"/>
          <w:szCs w:val="18"/>
          <w:color w:val="auto"/>
        </w:rPr>
        <w:t>included in this Quarterly Report on Form 10-Q for additional information.</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21"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Concurrent with the separation, the Company and WDC entered into a Tax Matters Agreement under which the Company and WDC agreed to indemnify each other for certain tax positions. As a result of this agreement, the Company recorded a tax indemnification liability of $112 million on February 21, 2025, which was recognized as an adjustment to the Net investment from Western Digital Corporation. The remaining tax indemnification liability of $131 million is classified as Other liabilities in the Condensed Consolidated Balance Sheets as of April 3, 2026.</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40" w:firstLine="486"/>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7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Long-Term Agreements</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entering into long-term agreements during the third quarter of fiscal 2026 with certain customers, we received customer advances that increased our available cash and cash equivalents. We record these customer payments as contract liabilities in advance of performance under the contract. As of April 3, 2026, our contract liabilities were $511 million, which primarily relates to the remaining performance obligations under these long-term agreements. See Part I, Item 1, Note 4,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of the Notes to the Condensed Consolidated Financial Statements included in this Quarterly Report on Form 10-Q for information regarding our contract liabilities.</w:t>
      </w:r>
    </w:p>
    <w:p>
      <w:pPr>
        <w:spacing w:after="0" w:line="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Authorization</w:t>
      </w:r>
    </w:p>
    <w:p>
      <w:pPr>
        <w:spacing w:after="0" w:line="121"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On April 30, 2026, we announced that our Board of Directors has approved a $6 billion (exclusive of fees and commissions) share repurchase program (the “Repurchase Program”). The acquisition of shares under the Repurchase Program may be effected from time to time through open market purchases (including under a plan adopted pursuant to Rule 10b5-1 promulgated under the Securities Exchange Act of 1934) or other methods of acquiring shares, in each case on such terms and at such times as shall be permitted by applicable securities laws and determined by our management. We expect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repurchased under the Repurchase Program to be funded by operating cash flows. The amount and timing of share repurchases will depend on</w:t>
      </w:r>
    </w:p>
    <w:p>
      <w:pPr>
        <w:spacing w:after="0" w:line="5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market conditions and other relevant factors. We may suspend or discontinue the Repurchase Program at any time. The approval of the Repurchase Program does not obligate us to repurchase any common shares.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 xml:space="preserve">For a description of recently issued and adopted accounting pronouncements, including the respective dates of adoption and expected effects on our results of operations and financial condition, see Part I, Item 1, Note 2,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xml:space="preserve"> of the Notes to Condensed Consolidated Financial Statements included in this Quarterly Report on Form 10-Q.</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We have prepared the accompanying unaudited Condensed Consolidated Financial Statements in accordance with accounting principles generally accepted in the United States and the policies and practices that are generally accepted in the industry in which we operate. The preparation of these Condensed Consolidated Financial Statements requires the use of judgments and estimates that affect the reported amounts of revenues, expenses, assets, and liabilities. We have adopted accounting policies and practices that are generally accepted in the industry in which we operate. If these estimates differ significantly from actual results, the impact to the Condensed Consolidated Financial Statements may be material.</w:t>
      </w:r>
    </w:p>
    <w:p>
      <w:pPr>
        <w:spacing w:after="0" w:line="75"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and estimates from those disclosed in our Annual Report on Form 10-K, filed with the United States Securities and Exchange Commission for the year ended June 27, 2025.</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Although the majority of our transactions are in U.S. dollars, some transactions are based in various foreign currencies. We have historically purchased short-term foreign exchange contracts to hedge the impact of foreign currency exchange fluctuations on certain underlying assets, liabilities and commitments for product costs and operating expenses denominated in foreign currencies. The purpose of entering into these hedge transactions is to reduce the impact of foreign currency fluctuations on our results of operations. Substantially all of the contract maturity dates do not exceed twelve months. We do not purchase foreign exchange contracts for speculative or trading purposes.</w:t>
      </w:r>
    </w:p>
    <w:p>
      <w:pPr>
        <w:spacing w:after="0" w:line="75" w:lineRule="exact"/>
        <w:rPr>
          <w:sz w:val="20"/>
          <w:szCs w:val="20"/>
          <w:color w:val="auto"/>
        </w:rPr>
      </w:pPr>
    </w:p>
    <w:p>
      <w:pPr>
        <w:ind w:right="20" w:firstLine="486"/>
        <w:spacing w:after="0" w:line="277" w:lineRule="auto"/>
        <w:rPr>
          <w:sz w:val="20"/>
          <w:szCs w:val="20"/>
          <w:color w:val="auto"/>
        </w:rPr>
      </w:pPr>
      <w:r>
        <w:rPr>
          <w:rFonts w:ascii="Times New Roman" w:cs="Times New Roman" w:eastAsia="Times New Roman" w:hAnsi="Times New Roman"/>
          <w:sz w:val="17"/>
          <w:szCs w:val="17"/>
          <w:color w:val="auto"/>
        </w:rPr>
        <w:t>We have performed sensitivity analyses as of April 3, 2026, using a modeling technique that measures the change in the fair values arising from a hypothetical 10% adverse movement in the levels of foreign currency exchange rates relative to the U.S. dollar, with all other variables held constant. The analyses cover all of our foreign currency derivative contracts used to offset the underlying exposures. The foreign currency exchange rates used in performing the sensitivity analyses were based on market rates in effect at April 3, 2026. The sensitivity analyses indicated that a hypothetical 10% adverse movement in foreign currency exchange rates relative to the U.S. dollar would result in a foreign exchange fair value loss of $29 million at April 3, 2026.</w:t>
      </w:r>
    </w:p>
    <w:p>
      <w:pPr>
        <w:spacing w:after="0" w:line="60"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Notwithstanding our efforts to mitigate some foreign exchange risks, we do not hedge all of our foreign currency exposures, and there can be no assurance that our mitigating activities related to the exposures that we do hedge will adequately protect us against risks associated with foreign currency fluctuations. Additionally, the overall effectiveness of our historical hedging strategy is dependent on business, market and global economic conditions. We have revised, and may continue to alter, our hedging program and may choose to discontinue our hedging activities at any time.</w:t>
      </w:r>
    </w:p>
    <w:p>
      <w:pPr>
        <w:spacing w:after="0" w:line="6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w:t>
      </w:r>
      <w:r>
        <w:rPr>
          <w:rFonts w:ascii="Times New Roman" w:cs="Times New Roman" w:eastAsia="Times New Roman" w:hAnsi="Times New Roman"/>
          <w:sz w:val="18"/>
          <w:szCs w:val="18"/>
          <w:i w:val="1"/>
          <w:iCs w:val="1"/>
          <w:color w:val="auto"/>
        </w:rPr>
        <w:t>s</w:t>
      </w:r>
    </w:p>
    <w:p>
      <w:pPr>
        <w:spacing w:after="0" w:line="121" w:lineRule="exact"/>
        <w:rPr>
          <w:sz w:val="20"/>
          <w:szCs w:val="20"/>
          <w:color w:val="auto"/>
        </w:rPr>
      </w:pPr>
    </w:p>
    <w:p>
      <w:pPr>
        <w:ind w:right="200" w:firstLine="486"/>
        <w:spacing w:after="0" w:line="256" w:lineRule="auto"/>
        <w:rPr>
          <w:sz w:val="20"/>
          <w:szCs w:val="20"/>
          <w:color w:val="auto"/>
        </w:rPr>
      </w:pPr>
      <w:r>
        <w:rPr>
          <w:rFonts w:ascii="Times New Roman" w:cs="Times New Roman" w:eastAsia="Times New Roman" w:hAnsi="Times New Roman"/>
          <w:sz w:val="18"/>
          <w:szCs w:val="18"/>
          <w:color w:val="auto"/>
        </w:rPr>
        <w:t>As required by Rule 13a-15(b) promulgated by the U.S. Securities and Exchange Commission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Due to a transition period established by U.S. Securities and Exchange Commission rules applicable to newly public companies, our management is not required to evaluate the effectiveness of our internal control over financial reporting until the filing of our Annual Report on Form 10-K for the year ending July 3, 2026. As a result, this Quarterly Report on Form 10-Q does not address whether there have been any changes in our internal control over financial reporting.</w:t>
      </w:r>
    </w:p>
    <w:p>
      <w:pPr>
        <w:spacing w:after="0" w:line="72"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to provide reasonable assurance of achieving their objectives as specified above. Management does not expect, however, that our disclosure controls and procedures will prevent or detect all errors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PART II. OTHER INFORMATION</w:t>
      </w:r>
    </w:p>
    <w:p>
      <w:pPr>
        <w:spacing w:after="0" w:line="10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There are no material legal proceedings, other than ordinary routine litigation incidental to the Company’s business, to which we or any of our subsidiaries is a party or of which any of our or our subsidiaries’ property is subject.</w:t>
      </w:r>
    </w:p>
    <w:p>
      <w:pPr>
        <w:spacing w:after="0" w:line="5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21"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We have described under the heading “Risk Factors” included in our Annual Report on Form 10-K filed with the Securities and Exchange Commission on August 21, 2025 for the year ended June 27, 2025 a number of risks and uncertainties that could cause our actual results of operations and financial condition to vary materially from past, or from anticipated future, results of operations and financial condition. Except as set forth below, there have been no material changes from these risk factors previously described in our Annual Report on Form 10-K for the year ended June 27, 2025. These risks and uncertainties are not the only risks facing us. Additional risks and uncertainties not presently known to us or that we currently deem not material may also adversely affect our business, financial condition, results of operations or the market price of our common stock.</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Long-term agreements expose us to certain execution, financial, and market risks, which could be significant.</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have entered into long-term agreements with certain customers that commit us to deliver and our customers to purchase substantial volumes of products over multi-year periods. Our ability to fulfill our obligations under these agreements depends on a number of factors, including our manufacturing capacity, production yields, supply chain performance, and the availability of raw materials and other critical inputs. If we are unable to deliver products in the quantities, at the times, or meeting the specifications required under these agreements, we may be subject to pricing or volume reductions, contractual damages, other financial penalties, or early termination. There can be no assurance that we will be able to perform these contractual obligations throughout the contract terms without disruption or shortfall. Any failure to perform could harm our customer relationships, damage our reputation, and have a material adverse effect on our results of operations and financial condition.</w:t>
      </w:r>
    </w:p>
    <w:p>
      <w:pPr>
        <w:spacing w:after="0" w:line="8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If a customer were to breach its purchase obligations, or if we were to breach our obligations and a customer were to terminate or reduce its volume commitments, we may need to find alternative customers for any affected product volumes. Depending on market conditions at the time, we may be unable to resell those products at comparable prices, or at all, which could result in reduced revenue, lower margins, excess inventory, or manufacturing underutilization or asset impairment charges, and could have a material adverse effect on our business, results of operations, and financial condition.</w:t>
      </w:r>
    </w:p>
    <w:p>
      <w:pPr>
        <w:spacing w:after="0" w:line="72"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Each agreement includes certain financial guarantees that protect us if the customer fails to perform its purchase obligations. In such event, these financial guarantees are expected to offset at least some portion of revenue that may be lost due to the customer’s failure to perform, but they may not fully offset such lost revenue depending on when during the contract term the customer’s failure to perform were to occur and other factors.</w:t>
      </w:r>
    </w:p>
    <w:p>
      <w:pPr>
        <w:spacing w:after="0" w:line="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Arrangements</w:t>
      </w:r>
    </w:p>
    <w:p>
      <w:pPr>
        <w:spacing w:after="0" w:line="121"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Other than as set forth below, none of our officers (as defined in Rule 16a-1(f) of the Exchange Act) or directors adopted trading arrangements for the purchase or sale of securities of Sandisk Corporation that are intended to satisfy the affirmative defense conditions of Rule 10b5-1(c) of the Exchange Act (“Rule 10b5-1 Plan”):</w:t>
      </w:r>
    </w:p>
    <w:p>
      <w:pPr>
        <w:spacing w:after="0" w:line="68" w:lineRule="exact"/>
        <w:rPr>
          <w:sz w:val="20"/>
          <w:szCs w:val="20"/>
          <w:color w:val="auto"/>
        </w:rPr>
      </w:pPr>
    </w:p>
    <w:p>
      <w:pPr>
        <w:ind w:left="660" w:right="2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Alper Ilkbahar, Executive Vice President, Chief Technology Officer of the Company, adopted a Rule 10b5-1 Plan on February 27, 2026. The aggregate number of shares that will be available for sale under his plan is not yet determinable because a portion of the shares will be withheld to satisfy tax withholding obligations at an approximate rate of 45%. The maximum amount of shares that may be sold before the plan expires on December 31, 2026 is expected to be up to an aggregate of 22,821 shares of the Company’s common stock.</w:t>
      </w:r>
    </w:p>
    <w:p>
      <w:pPr>
        <w:spacing w:after="0" w:line="7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Bernard Shek, Chief Legal Officer and Secretary of the Company, adopted a 10b5-1 Plan on March 4, 2026. The aggregate number of shares that will be available for sale under his plan is not yet determinable because a portion of the shares will be withheld to satisfy tax withholding obligations at an approximate rate of 45%. The maximum amount of shares that may be sold before the plan expires on July 2, 2027 is expected to be up to an aggregate of 10,465 shares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121"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The exhibits listed in the Exhibit Index below are filed or furnished with, or incorporated by reference in, this Quarterly Report on Form 10-Q, as specified in the Exhibit List, including from exhibits previously filed with the Securities and Exchange Commission.</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2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89"/>
        </w:trPr>
        <w:tc>
          <w:tcPr>
            <w:tcW w:w="98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0220" w:type="dxa"/>
            <w:vAlign w:val="bottom"/>
            <w:vMerge w:val="restart"/>
          </w:tcPr>
          <w:p>
            <w:pPr>
              <w:ind w:left="47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980" w:type="dxa"/>
            <w:vAlign w:val="bottom"/>
            <w:tcBorders>
              <w:bottom w:val="single" w:sz="8" w:color="CCEEFF"/>
            </w:tcBorders>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580" w:type="dxa"/>
            <w:vAlign w:val="bottom"/>
            <w:gridSpan w:val="4"/>
            <w:shd w:val="clear" w:color="auto" w:fill="CCEEFF"/>
          </w:tcPr>
          <w:p>
            <w:pPr>
              <w:jc w:val="center"/>
              <w:ind w:left="248"/>
              <w:spacing w:after="0" w:line="110" w:lineRule="exact"/>
              <w:rPr>
                <w:rFonts w:ascii="Times New Roman" w:cs="Times New Roman" w:eastAsia="Times New Roman" w:hAnsi="Times New Roman"/>
                <w:sz w:val="12"/>
                <w:szCs w:val="12"/>
                <w:color w:val="0000FF"/>
              </w:rPr>
            </w:pPr>
            <w:hyperlink r:id="rId91">
              <w:r>
                <w:rPr>
                  <w:rFonts w:ascii="Times New Roman" w:cs="Times New Roman" w:eastAsia="Times New Roman" w:hAnsi="Times New Roman"/>
                  <w:sz w:val="12"/>
                  <w:szCs w:val="12"/>
                  <w:color w:val="0000FF"/>
                </w:rPr>
                <w:t>2.</w:t>
              </w:r>
              <w:r>
                <w:rPr>
                  <w:rFonts w:ascii="Times New Roman" w:cs="Times New Roman" w:eastAsia="Times New Roman" w:hAnsi="Times New Roman"/>
                  <w:sz w:val="12"/>
                  <w:szCs w:val="12"/>
                  <w:u w:val="single" w:color="auto"/>
                  <w:color w:val="0000FF"/>
                </w:rPr>
                <w:t>1</w:t>
              </w:r>
            </w:hyperlink>
          </w:p>
        </w:tc>
        <w:tc>
          <w:tcPr>
            <w:tcW w:w="400" w:type="dxa"/>
            <w:vAlign w:val="bottom"/>
            <w:shd w:val="clear" w:color="auto" w:fill="CCEEFF"/>
          </w:tcPr>
          <w:p>
            <w:pPr>
              <w:spacing w:after="0"/>
              <w:rPr>
                <w:sz w:val="11"/>
                <w:szCs w:val="11"/>
                <w:color w:val="auto"/>
              </w:rPr>
            </w:pPr>
          </w:p>
        </w:tc>
        <w:tc>
          <w:tcPr>
            <w:tcW w:w="1022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Separation and Distribution Agreement, dated as of February 21, 2025, by and between Western Digital Corporation and Sandisk Corporation (Filed as Exhibit 2.1 to the</w:t>
            </w:r>
          </w:p>
        </w:tc>
        <w:tc>
          <w:tcPr>
            <w:tcW w:w="0" w:type="dxa"/>
            <w:vAlign w:val="bottom"/>
          </w:tcPr>
          <w:p>
            <w:pPr>
              <w:spacing w:after="0"/>
              <w:rPr>
                <w:sz w:val="1"/>
                <w:szCs w:val="1"/>
                <w:color w:val="auto"/>
              </w:rPr>
            </w:pPr>
          </w:p>
        </w:tc>
      </w:tr>
      <w:tr>
        <w:trPr>
          <w:trHeight w:val="182"/>
        </w:trPr>
        <w:tc>
          <w:tcPr>
            <w:tcW w:w="3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Company’s Current Report on Form 8-K with the Securities and Exchange Commission on February 24, 2025)#</w:t>
            </w:r>
          </w:p>
        </w:tc>
        <w:tc>
          <w:tcPr>
            <w:tcW w:w="0" w:type="dxa"/>
            <w:vAlign w:val="bottom"/>
          </w:tcPr>
          <w:p>
            <w:pPr>
              <w:spacing w:after="0"/>
              <w:rPr>
                <w:sz w:val="1"/>
                <w:szCs w:val="1"/>
                <w:color w:val="auto"/>
              </w:rPr>
            </w:pPr>
          </w:p>
        </w:tc>
      </w:tr>
      <w:tr>
        <w:trPr>
          <w:trHeight w:val="149"/>
        </w:trPr>
        <w:tc>
          <w:tcPr>
            <w:tcW w:w="580" w:type="dxa"/>
            <w:vAlign w:val="bottom"/>
            <w:gridSpan w:val="4"/>
          </w:tcPr>
          <w:p>
            <w:pPr>
              <w:jc w:val="center"/>
              <w:ind w:left="248"/>
              <w:spacing w:after="0" w:line="149" w:lineRule="exact"/>
              <w:rPr>
                <w:rFonts w:ascii="Times New Roman" w:cs="Times New Roman" w:eastAsia="Times New Roman" w:hAnsi="Times New Roman"/>
                <w:sz w:val="14"/>
                <w:szCs w:val="14"/>
                <w:color w:val="0000FF"/>
              </w:rPr>
            </w:pPr>
            <w:hyperlink r:id="rId92">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1</w:t>
              </w:r>
            </w:hyperlink>
          </w:p>
        </w:tc>
        <w:tc>
          <w:tcPr>
            <w:tcW w:w="400" w:type="dxa"/>
            <w:vAlign w:val="bottom"/>
          </w:tcPr>
          <w:p>
            <w:pPr>
              <w:spacing w:after="0"/>
              <w:rPr>
                <w:sz w:val="12"/>
                <w:szCs w:val="12"/>
                <w:color w:val="auto"/>
              </w:rPr>
            </w:pPr>
          </w:p>
        </w:tc>
        <w:tc>
          <w:tcPr>
            <w:tcW w:w="10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Amended and Restated Certificate of Incorporation of Sandisk Corporation dated as of January 28, 2025 (Filed as Exhibit 3.1 to the Company’s Current Report on Form 8-K</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 the Securities and Exchange Commission on February 24, 2025)</w:t>
            </w:r>
          </w:p>
        </w:tc>
        <w:tc>
          <w:tcPr>
            <w:tcW w:w="0" w:type="dxa"/>
            <w:vAlign w:val="bottom"/>
          </w:tcPr>
          <w:p>
            <w:pPr>
              <w:spacing w:after="0"/>
              <w:rPr>
                <w:sz w:val="1"/>
                <w:szCs w:val="1"/>
                <w:color w:val="auto"/>
              </w:rPr>
            </w:pPr>
          </w:p>
        </w:tc>
      </w:tr>
      <w:tr>
        <w:trPr>
          <w:trHeight w:val="149"/>
        </w:trPr>
        <w:tc>
          <w:tcPr>
            <w:tcW w:w="580" w:type="dxa"/>
            <w:vAlign w:val="bottom"/>
            <w:gridSpan w:val="4"/>
            <w:shd w:val="clear" w:color="auto" w:fill="CCEEFF"/>
          </w:tcPr>
          <w:p>
            <w:pPr>
              <w:jc w:val="center"/>
              <w:ind w:left="248"/>
              <w:spacing w:after="0" w:line="149" w:lineRule="exact"/>
              <w:rPr>
                <w:rFonts w:ascii="Times New Roman" w:cs="Times New Roman" w:eastAsia="Times New Roman" w:hAnsi="Times New Roman"/>
                <w:sz w:val="14"/>
                <w:szCs w:val="14"/>
                <w:color w:val="0000FF"/>
              </w:rPr>
            </w:pPr>
            <w:hyperlink r:id="rId93">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2</w:t>
              </w:r>
            </w:hyperlink>
          </w:p>
        </w:tc>
        <w:tc>
          <w:tcPr>
            <w:tcW w:w="400" w:type="dxa"/>
            <w:vAlign w:val="bottom"/>
            <w:shd w:val="clear" w:color="auto" w:fill="CCEEFF"/>
          </w:tcPr>
          <w:p>
            <w:pPr>
              <w:spacing w:after="0"/>
              <w:rPr>
                <w:sz w:val="12"/>
                <w:szCs w:val="12"/>
                <w:color w:val="auto"/>
              </w:rPr>
            </w:pPr>
          </w:p>
        </w:tc>
        <w:tc>
          <w:tcPr>
            <w:tcW w:w="10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Amended and Restated Bylaws of the Company (Filed as Exhibit 3.1 to the Company’s Current Report on Form 8-K with the Securities and Exchange Commission on February</w:t>
            </w:r>
          </w:p>
        </w:tc>
        <w:tc>
          <w:tcPr>
            <w:tcW w:w="0" w:type="dxa"/>
            <w:vAlign w:val="bottom"/>
          </w:tcPr>
          <w:p>
            <w:pPr>
              <w:spacing w:after="0"/>
              <w:rPr>
                <w:sz w:val="1"/>
                <w:szCs w:val="1"/>
                <w:color w:val="auto"/>
              </w:rPr>
            </w:pPr>
          </w:p>
        </w:tc>
      </w:tr>
      <w:tr>
        <w:trPr>
          <w:trHeight w:val="169"/>
        </w:trPr>
        <w:tc>
          <w:tcPr>
            <w:tcW w:w="3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0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14, 2025)</w:t>
            </w:r>
          </w:p>
        </w:tc>
        <w:tc>
          <w:tcPr>
            <w:tcW w:w="0" w:type="dxa"/>
            <w:vAlign w:val="bottom"/>
          </w:tcPr>
          <w:p>
            <w:pPr>
              <w:spacing w:after="0"/>
              <w:rPr>
                <w:sz w:val="1"/>
                <w:szCs w:val="1"/>
                <w:color w:val="auto"/>
              </w:rPr>
            </w:pPr>
          </w:p>
        </w:tc>
      </w:tr>
      <w:tr>
        <w:trPr>
          <w:trHeight w:val="149"/>
        </w:trPr>
        <w:tc>
          <w:tcPr>
            <w:tcW w:w="980" w:type="dxa"/>
            <w:vAlign w:val="bottom"/>
            <w:gridSpan w:val="5"/>
          </w:tcPr>
          <w:p>
            <w:pPr>
              <w:jc w:val="center"/>
              <w:ind w:right="80"/>
              <w:spacing w:after="0" w:line="149" w:lineRule="exact"/>
              <w:rPr>
                <w:rFonts w:ascii="Times New Roman" w:cs="Times New Roman" w:eastAsia="Times New Roman" w:hAnsi="Times New Roman"/>
                <w:sz w:val="14"/>
                <w:szCs w:val="14"/>
                <w:color w:val="0000FF"/>
              </w:rPr>
            </w:pPr>
            <w:hyperlink r:id="rId94">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hyperlink>
          </w:p>
        </w:tc>
        <w:tc>
          <w:tcPr>
            <w:tcW w:w="10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Agreement to Enhance Collaboration, dated as of January 29, 2026, by and among Kioxia Corporation, Sandisk Corporation, Sandisk Technologies, Inc., SanDisk LLC,</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0" w:type="dxa"/>
            <w:vAlign w:val="bottom"/>
          </w:tcPr>
          <w:p>
            <w:pPr>
              <w:spacing w:after="0"/>
              <w:rPr>
                <w:sz w:val="10"/>
                <w:szCs w:val="10"/>
                <w:color w:val="auto"/>
              </w:rPr>
            </w:pPr>
          </w:p>
        </w:tc>
        <w:tc>
          <w:tcPr>
            <w:tcW w:w="1022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SanDisk (Ireland) Limited and SanDisk (Cayman) Limited (Filed as Exhibit 10.1 to the Company’s Quarterly Report on Form 10-Q with the Securities and Exchange</w:t>
            </w:r>
          </w:p>
        </w:tc>
        <w:tc>
          <w:tcPr>
            <w:tcW w:w="0" w:type="dxa"/>
            <w:vAlign w:val="bottom"/>
          </w:tcPr>
          <w:p>
            <w:pPr>
              <w:spacing w:after="0"/>
              <w:rPr>
                <w:sz w:val="1"/>
                <w:szCs w:val="1"/>
                <w:color w:val="auto"/>
              </w:rPr>
            </w:pPr>
          </w:p>
        </w:tc>
      </w:tr>
      <w:tr>
        <w:trPr>
          <w:trHeight w:val="195"/>
        </w:trPr>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Commission on January 30, 2026)</w:t>
            </w:r>
          </w:p>
        </w:tc>
        <w:tc>
          <w:tcPr>
            <w:tcW w:w="0" w:type="dxa"/>
            <w:vAlign w:val="bottom"/>
          </w:tcPr>
          <w:p>
            <w:pPr>
              <w:spacing w:after="0"/>
              <w:rPr>
                <w:sz w:val="1"/>
                <w:szCs w:val="1"/>
                <w:color w:val="auto"/>
              </w:rPr>
            </w:pPr>
          </w:p>
        </w:tc>
      </w:tr>
      <w:tr>
        <w:trPr>
          <w:trHeight w:val="156"/>
        </w:trPr>
        <w:tc>
          <w:tcPr>
            <w:tcW w:w="980" w:type="dxa"/>
            <w:vAlign w:val="bottom"/>
            <w:gridSpan w:val="5"/>
            <w:shd w:val="clear" w:color="auto" w:fill="CCEEFF"/>
          </w:tcPr>
          <w:p>
            <w:pPr>
              <w:jc w:val="center"/>
              <w:ind w:right="80"/>
              <w:spacing w:after="0" w:line="156" w:lineRule="exact"/>
              <w:rPr>
                <w:rFonts w:ascii="Times New Roman" w:cs="Times New Roman" w:eastAsia="Times New Roman" w:hAnsi="Times New Roman"/>
                <w:sz w:val="14"/>
                <w:szCs w:val="14"/>
                <w:color w:val="0000FF"/>
              </w:rPr>
            </w:pPr>
            <w:hyperlink r:id="rId95">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w:t>
              </w:r>
            </w:hyperlink>
          </w:p>
        </w:tc>
        <w:tc>
          <w:tcPr>
            <w:tcW w:w="102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color w:val="auto"/>
              </w:rPr>
              <w:t>FAL Second Commitment and Extension Agreement, dated as of January 29, 2026, by and among Kioxia Corporation, Sandisk Corporation, SanDisk LLC and SanDisk</w:t>
            </w:r>
          </w:p>
        </w:tc>
        <w:tc>
          <w:tcPr>
            <w:tcW w:w="0" w:type="dxa"/>
            <w:vAlign w:val="bottom"/>
          </w:tcPr>
          <w:p>
            <w:pPr>
              <w:spacing w:after="0"/>
              <w:rPr>
                <w:sz w:val="1"/>
                <w:szCs w:val="1"/>
                <w:color w:val="auto"/>
              </w:rPr>
            </w:pPr>
          </w:p>
        </w:tc>
      </w:tr>
      <w:tr>
        <w:trPr>
          <w:trHeight w:val="169"/>
        </w:trPr>
        <w:tc>
          <w:tcPr>
            <w:tcW w:w="3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18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0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(Ireland) Limited (Filed as Exhibit 10.2 to the Company’s Quarterly Report on Form 10-Q with the Securities and Exchange Commission on January 30, 2026)</w:t>
            </w:r>
          </w:p>
        </w:tc>
        <w:tc>
          <w:tcPr>
            <w:tcW w:w="0" w:type="dxa"/>
            <w:vAlign w:val="bottom"/>
          </w:tcPr>
          <w:p>
            <w:pPr>
              <w:spacing w:after="0"/>
              <w:rPr>
                <w:sz w:val="1"/>
                <w:szCs w:val="1"/>
                <w:color w:val="auto"/>
              </w:rPr>
            </w:pPr>
          </w:p>
        </w:tc>
      </w:tr>
      <w:tr>
        <w:trPr>
          <w:trHeight w:val="148"/>
        </w:trPr>
        <w:tc>
          <w:tcPr>
            <w:tcW w:w="980" w:type="dxa"/>
            <w:vAlign w:val="bottom"/>
            <w:gridSpan w:val="5"/>
          </w:tcPr>
          <w:p>
            <w:pPr>
              <w:jc w:val="center"/>
              <w:ind w:right="80"/>
              <w:spacing w:after="0" w:line="149" w:lineRule="exact"/>
              <w:rPr>
                <w:rFonts w:ascii="Times New Roman" w:cs="Times New Roman" w:eastAsia="Times New Roman" w:hAnsi="Times New Roman"/>
                <w:sz w:val="14"/>
                <w:szCs w:val="14"/>
                <w:color w:val="0000FF"/>
              </w:rPr>
            </w:pPr>
            <w:hyperlink r:id="rId9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w:t>
              </w:r>
            </w:hyperlink>
          </w:p>
        </w:tc>
        <w:tc>
          <w:tcPr>
            <w:tcW w:w="10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FPL Second Commitment and Extension Agreement, dated as of January 29, 2026, by and among Kioxia Corporation, Sandisk Corporation, SanDisk LLC and SanDisk</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0" w:type="dxa"/>
            <w:vAlign w:val="bottom"/>
          </w:tcPr>
          <w:p>
            <w:pPr>
              <w:spacing w:after="0"/>
              <w:rPr>
                <w:sz w:val="14"/>
                <w:szCs w:val="14"/>
                <w:color w:val="auto"/>
              </w:rPr>
            </w:pPr>
          </w:p>
        </w:tc>
        <w:tc>
          <w:tcPr>
            <w:tcW w:w="10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(Cayman) Limited (Filed as Exhibit 10.3 to the Company’s Quarterly Report on Form 10-Q with the Securities and Exchange Commission on January 30, 2026)</w:t>
            </w:r>
          </w:p>
        </w:tc>
        <w:tc>
          <w:tcPr>
            <w:tcW w:w="0" w:type="dxa"/>
            <w:vAlign w:val="bottom"/>
          </w:tcPr>
          <w:p>
            <w:pPr>
              <w:spacing w:after="0"/>
              <w:rPr>
                <w:sz w:val="1"/>
                <w:szCs w:val="1"/>
                <w:color w:val="auto"/>
              </w:rPr>
            </w:pPr>
          </w:p>
        </w:tc>
      </w:tr>
      <w:tr>
        <w:trPr>
          <w:trHeight w:val="149"/>
        </w:trPr>
        <w:tc>
          <w:tcPr>
            <w:tcW w:w="980" w:type="dxa"/>
            <w:vAlign w:val="bottom"/>
            <w:gridSpan w:val="5"/>
            <w:shd w:val="clear" w:color="auto" w:fill="CCEEFF"/>
          </w:tcPr>
          <w:p>
            <w:pPr>
              <w:jc w:val="center"/>
              <w:ind w:right="80"/>
              <w:spacing w:after="0" w:line="149" w:lineRule="exact"/>
              <w:rPr>
                <w:rFonts w:ascii="Times New Roman" w:cs="Times New Roman" w:eastAsia="Times New Roman" w:hAnsi="Times New Roman"/>
                <w:sz w:val="14"/>
                <w:szCs w:val="14"/>
                <w:color w:val="0000FF"/>
              </w:rPr>
            </w:pPr>
            <w:hyperlink r:id="rId9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w:t>
              </w:r>
            </w:hyperlink>
          </w:p>
        </w:tc>
        <w:tc>
          <w:tcPr>
            <w:tcW w:w="10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Private Placement Subscription Agreement, dated as of March 25, 2026, by and between Sandisk Technologies, Inc. and Nanya Technology Corporation (Filed as Exhibit 10.1</w:t>
            </w:r>
          </w:p>
        </w:tc>
        <w:tc>
          <w:tcPr>
            <w:tcW w:w="0" w:type="dxa"/>
            <w:vAlign w:val="bottom"/>
          </w:tcPr>
          <w:p>
            <w:pPr>
              <w:spacing w:after="0"/>
              <w:rPr>
                <w:sz w:val="1"/>
                <w:szCs w:val="1"/>
                <w:color w:val="auto"/>
              </w:rPr>
            </w:pPr>
          </w:p>
        </w:tc>
      </w:tr>
      <w:tr>
        <w:trPr>
          <w:trHeight w:val="169"/>
        </w:trPr>
        <w:tc>
          <w:tcPr>
            <w:tcW w:w="3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18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0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 the Company’s Current Report on Form 8-K with the Securities and Exchange Commission on March 25, 2026)</w:t>
            </w:r>
          </w:p>
        </w:tc>
        <w:tc>
          <w:tcPr>
            <w:tcW w:w="0" w:type="dxa"/>
            <w:vAlign w:val="bottom"/>
          </w:tcPr>
          <w:p>
            <w:pPr>
              <w:spacing w:after="0"/>
              <w:rPr>
                <w:sz w:val="1"/>
                <w:szCs w:val="1"/>
                <w:color w:val="auto"/>
              </w:rPr>
            </w:pPr>
          </w:p>
        </w:tc>
      </w:tr>
      <w:tr>
        <w:trPr>
          <w:trHeight w:val="149"/>
        </w:trPr>
        <w:tc>
          <w:tcPr>
            <w:tcW w:w="980" w:type="dxa"/>
            <w:vAlign w:val="bottom"/>
            <w:gridSpan w:val="5"/>
          </w:tcPr>
          <w:p>
            <w:pPr>
              <w:jc w:val="center"/>
              <w:ind w:right="80"/>
              <w:spacing w:after="0" w:line="149" w:lineRule="exact"/>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1</w:t>
            </w:r>
          </w:p>
        </w:tc>
        <w:tc>
          <w:tcPr>
            <w:tcW w:w="10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34"/>
        </w:trPr>
        <w:tc>
          <w:tcPr>
            <w:tcW w:w="3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10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0000FF"/>
            </w:tcBorders>
            <w:gridSpan w:val="3"/>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2</w:t>
            </w:r>
          </w:p>
        </w:tc>
        <w:tc>
          <w:tcPr>
            <w:tcW w:w="4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149"/>
        </w:trPr>
        <w:tc>
          <w:tcPr>
            <w:tcW w:w="980" w:type="dxa"/>
            <w:vAlign w:val="bottom"/>
            <w:gridSpan w:val="5"/>
          </w:tcPr>
          <w:p>
            <w:pPr>
              <w:jc w:val="center"/>
              <w:ind w:right="80"/>
              <w:spacing w:after="0" w:line="149" w:lineRule="exact"/>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1</w:t>
            </w:r>
          </w:p>
        </w:tc>
        <w:tc>
          <w:tcPr>
            <w:tcW w:w="10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Certification of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34"/>
        </w:trPr>
        <w:tc>
          <w:tcPr>
            <w:tcW w:w="3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10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0000FF"/>
            </w:tcBorders>
            <w:gridSpan w:val="3"/>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2</w:t>
            </w:r>
          </w:p>
        </w:tc>
        <w:tc>
          <w:tcPr>
            <w:tcW w:w="4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Certification of Chief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95"/>
        </w:trPr>
        <w:tc>
          <w:tcPr>
            <w:tcW w:w="9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color w:val="auto"/>
              </w:rPr>
              <w:t>101.INS</w:t>
            </w:r>
          </w:p>
        </w:tc>
        <w:tc>
          <w:tcPr>
            <w:tcW w:w="10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XBRL Instance Document - 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210"/>
        </w:trPr>
        <w:tc>
          <w:tcPr>
            <w:tcW w:w="980" w:type="dxa"/>
            <w:vAlign w:val="bottom"/>
            <w:gridSpan w:val="5"/>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101.SCH</w:t>
            </w:r>
          </w:p>
        </w:tc>
        <w:tc>
          <w:tcPr>
            <w:tcW w:w="10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0" w:type="dxa"/>
            <w:vAlign w:val="bottom"/>
          </w:tcPr>
          <w:p>
            <w:pPr>
              <w:spacing w:after="0"/>
              <w:rPr>
                <w:sz w:val="1"/>
                <w:szCs w:val="1"/>
                <w:color w:val="auto"/>
              </w:rPr>
            </w:pPr>
          </w:p>
        </w:tc>
      </w:tr>
      <w:tr>
        <w:trPr>
          <w:trHeight w:val="195"/>
        </w:trPr>
        <w:tc>
          <w:tcPr>
            <w:tcW w:w="9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color w:val="auto"/>
              </w:rPr>
              <w:t>101.CAL</w:t>
            </w:r>
          </w:p>
        </w:tc>
        <w:tc>
          <w:tcPr>
            <w:tcW w:w="10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210"/>
        </w:trPr>
        <w:tc>
          <w:tcPr>
            <w:tcW w:w="980" w:type="dxa"/>
            <w:vAlign w:val="bottom"/>
            <w:gridSpan w:val="5"/>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101.LAB</w:t>
            </w:r>
          </w:p>
        </w:tc>
        <w:tc>
          <w:tcPr>
            <w:tcW w:w="10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0" w:type="dxa"/>
            <w:vAlign w:val="bottom"/>
          </w:tcPr>
          <w:p>
            <w:pPr>
              <w:spacing w:after="0"/>
              <w:rPr>
                <w:sz w:val="1"/>
                <w:szCs w:val="1"/>
                <w:color w:val="auto"/>
              </w:rPr>
            </w:pPr>
          </w:p>
        </w:tc>
      </w:tr>
      <w:tr>
        <w:trPr>
          <w:trHeight w:val="195"/>
        </w:trPr>
        <w:tc>
          <w:tcPr>
            <w:tcW w:w="9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color w:val="auto"/>
              </w:rPr>
              <w:t>101.PRE</w:t>
            </w:r>
          </w:p>
        </w:tc>
        <w:tc>
          <w:tcPr>
            <w:tcW w:w="10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0" w:type="dxa"/>
            <w:vAlign w:val="bottom"/>
          </w:tcPr>
          <w:p>
            <w:pPr>
              <w:spacing w:after="0"/>
              <w:rPr>
                <w:sz w:val="1"/>
                <w:szCs w:val="1"/>
                <w:color w:val="auto"/>
              </w:rPr>
            </w:pPr>
          </w:p>
        </w:tc>
      </w:tr>
      <w:tr>
        <w:trPr>
          <w:trHeight w:val="210"/>
        </w:trPr>
        <w:tc>
          <w:tcPr>
            <w:tcW w:w="980" w:type="dxa"/>
            <w:vAlign w:val="bottom"/>
            <w:gridSpan w:val="5"/>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101.DEF</w:t>
            </w:r>
          </w:p>
        </w:tc>
        <w:tc>
          <w:tcPr>
            <w:tcW w:w="10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0" w:type="dxa"/>
            <w:vAlign w:val="bottom"/>
          </w:tcPr>
          <w:p>
            <w:pPr>
              <w:spacing w:after="0"/>
              <w:rPr>
                <w:sz w:val="1"/>
                <w:szCs w:val="1"/>
                <w:color w:val="auto"/>
              </w:rPr>
            </w:pPr>
          </w:p>
        </w:tc>
      </w:tr>
    </w:tbl>
    <w:p>
      <w:pPr>
        <w:ind w:left="1020" w:hanging="661"/>
        <w:spacing w:after="0"/>
        <w:tabs>
          <w:tab w:leader="none" w:pos="102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 formatted in Inline XBRL and contained in Exhibit 101**</w:t>
      </w:r>
    </w:p>
    <w:p>
      <w:pPr>
        <w:spacing w:after="0" w:line="122" w:lineRule="exact"/>
        <w:rPr>
          <w:rFonts w:ascii="Times New Roman" w:cs="Times New Roman" w:eastAsia="Times New Roman" w:hAnsi="Times New Roman"/>
          <w:sz w:val="14"/>
          <w:szCs w:val="14"/>
          <w:color w:val="auto"/>
        </w:rPr>
      </w:pPr>
    </w:p>
    <w:p>
      <w:pPr>
        <w:ind w:left="120" w:hanging="112"/>
        <w:spacing w:after="0"/>
        <w:tabs>
          <w:tab w:leader="none" w:pos="1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with this report.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Furnished with this report.</w:t>
      </w:r>
    </w:p>
    <w:p>
      <w:pPr>
        <w:spacing w:after="0" w:line="5" w:lineRule="exact"/>
        <w:rPr>
          <w:sz w:val="20"/>
          <w:szCs w:val="20"/>
          <w:color w:val="auto"/>
        </w:rPr>
      </w:pPr>
    </w:p>
    <w:p>
      <w:pPr>
        <w:ind w:left="340" w:right="140" w:hanging="332"/>
        <w:spacing w:after="0" w:line="275" w:lineRule="auto"/>
        <w:tabs>
          <w:tab w:leader="none" w:pos="137"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and exhibits have been omitted pursuant to Item 601(a)(5) of Regulation S-K. The Registrant agrees to furnish supplementally a copy of any omitted schedule or exhibit to the U.S.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1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6"/>
          <w:szCs w:val="16"/>
          <w:color w:val="auto"/>
        </w:rPr>
        <w:t>Sandisk Corporation</w:t>
      </w:r>
    </w:p>
    <w:p>
      <w:pPr>
        <w:spacing w:after="0" w:line="194" w:lineRule="exact"/>
        <w:rPr>
          <w:sz w:val="20"/>
          <w:szCs w:val="20"/>
          <w:color w:val="auto"/>
        </w:rPr>
      </w:pPr>
    </w:p>
    <w:p>
      <w:pPr>
        <w:ind w:left="6420"/>
        <w:spacing w:after="0"/>
        <w:tabs>
          <w:tab w:leader="none" w:pos="6860" w:val="left"/>
        </w:tabs>
        <w:rPr>
          <w:sz w:val="20"/>
          <w:szCs w:val="20"/>
          <w:color w:val="auto"/>
        </w:rPr>
      </w:pPr>
      <w:r>
        <w:rPr>
          <w:rFonts w:ascii="Times New Roman" w:cs="Times New Roman" w:eastAsia="Times New Roman" w:hAnsi="Times New Roman"/>
          <w:sz w:val="16"/>
          <w:szCs w:val="16"/>
          <w:color w:val="auto"/>
        </w:rPr>
        <w:t>By:</w:t>
        <w:tab/>
        <w:t>/s/ Michael R. Pokorny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20320</wp:posOffset>
            </wp:positionV>
            <wp:extent cx="27857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color w:val="auto"/>
        </w:rPr>
        <w:t>Michael R. Pokorny</w:t>
      </w:r>
    </w:p>
    <w:p>
      <w:pPr>
        <w:spacing w:after="0" w:line="30"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i w:val="1"/>
          <w:iCs w:val="1"/>
          <w:color w:val="auto"/>
        </w:rPr>
        <w:t>Vice President, Chief Accounting Officer</w:t>
      </w:r>
    </w:p>
    <w:p>
      <w:pPr>
        <w:spacing w:after="0" w:line="3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color w:val="auto"/>
        </w:rPr>
        <w:t>(Principal Accounting Officer and Duly Authorized Officer)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 2026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780"/>
          </w:cols>
          <w:pgMar w:left="320" w:top="121" w:right="79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V. Goeckeler, certify that:</w:t>
      </w:r>
    </w:p>
    <w:p>
      <w:pPr>
        <w:spacing w:after="0" w:line="158"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Sandisk Corporation;</w:t>
      </w:r>
    </w:p>
    <w:p>
      <w:pPr>
        <w:spacing w:after="0" w:line="144" w:lineRule="exact"/>
        <w:rPr>
          <w:rFonts w:ascii="Times New Roman" w:cs="Times New Roman" w:eastAsia="Times New Roman" w:hAnsi="Times New Roman"/>
          <w:sz w:val="18"/>
          <w:szCs w:val="18"/>
          <w:color w:val="auto"/>
        </w:rPr>
      </w:pPr>
    </w:p>
    <w:p>
      <w:pPr>
        <w:ind w:right="260" w:firstLine="8"/>
        <w:spacing w:after="0" w:line="329"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540" w:firstLine="8"/>
        <w:spacing w:after="0" w:line="329"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right="580" w:firstLine="8"/>
        <w:spacing w:after="0" w:line="329"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40" w:lineRule="exact"/>
        <w:rPr>
          <w:rFonts w:ascii="Times New Roman" w:cs="Times New Roman" w:eastAsia="Times New Roman" w:hAnsi="Times New Roman"/>
          <w:sz w:val="18"/>
          <w:szCs w:val="18"/>
          <w:color w:val="auto"/>
        </w:rPr>
      </w:pPr>
    </w:p>
    <w:p>
      <w:pPr>
        <w:ind w:right="200" w:firstLine="656"/>
        <w:spacing w:after="0" w:line="313" w:lineRule="auto"/>
        <w:tabs>
          <w:tab w:leader="none" w:pos="81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700" w:firstLine="656"/>
        <w:spacing w:after="0" w:line="329" w:lineRule="auto"/>
        <w:tabs>
          <w:tab w:leader="none" w:pos="82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w:t>
      </w:r>
    </w:p>
    <w:p>
      <w:pPr>
        <w:spacing w:after="0" w:line="49" w:lineRule="exact"/>
        <w:rPr>
          <w:rFonts w:ascii="Times New Roman" w:cs="Times New Roman" w:eastAsia="Times New Roman" w:hAnsi="Times New Roman"/>
          <w:sz w:val="18"/>
          <w:szCs w:val="18"/>
          <w:color w:val="auto"/>
        </w:rPr>
      </w:pPr>
    </w:p>
    <w:p>
      <w:pPr>
        <w:ind w:right="2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80" w:firstLine="8"/>
        <w:spacing w:after="0" w:line="313"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right="100" w:firstLine="656"/>
        <w:spacing w:after="0" w:line="313" w:lineRule="auto"/>
        <w:tabs>
          <w:tab w:leader="none" w:pos="81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right="60" w:firstLine="656"/>
        <w:spacing w:after="0" w:line="313" w:lineRule="auto"/>
        <w:tabs>
          <w:tab w:leader="none" w:pos="82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5"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518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6"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David V. Goeckeler</w:t>
      </w:r>
    </w:p>
    <w:p>
      <w:pPr>
        <w:spacing w:after="0" w:line="2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 2026</w:t>
      </w:r>
    </w:p>
    <w:p>
      <w:pPr>
        <w:sectPr>
          <w:pgSz w:w="11900" w:h="16838" w:orient="portrait"/>
          <w:cols w:equalWidth="0" w:num="1">
            <w:col w:w="11240"/>
          </w:cols>
          <w:pgMar w:left="320" w:top="900"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Luis Visoso, certify that:</w:t>
      </w:r>
    </w:p>
    <w:p>
      <w:pPr>
        <w:spacing w:after="0" w:line="158"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Sandisk Corporation;</w:t>
      </w:r>
    </w:p>
    <w:p>
      <w:pPr>
        <w:spacing w:after="0" w:line="144" w:lineRule="exact"/>
        <w:rPr>
          <w:rFonts w:ascii="Times New Roman" w:cs="Times New Roman" w:eastAsia="Times New Roman" w:hAnsi="Times New Roman"/>
          <w:sz w:val="18"/>
          <w:szCs w:val="18"/>
          <w:color w:val="auto"/>
        </w:rPr>
      </w:pPr>
    </w:p>
    <w:p>
      <w:pPr>
        <w:ind w:right="260" w:firstLine="8"/>
        <w:spacing w:after="0" w:line="329"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540" w:firstLine="8"/>
        <w:spacing w:after="0" w:line="329"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right="580" w:firstLine="8"/>
        <w:spacing w:after="0" w:line="329"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40" w:lineRule="exact"/>
        <w:rPr>
          <w:rFonts w:ascii="Times New Roman" w:cs="Times New Roman" w:eastAsia="Times New Roman" w:hAnsi="Times New Roman"/>
          <w:sz w:val="18"/>
          <w:szCs w:val="18"/>
          <w:color w:val="auto"/>
        </w:rPr>
      </w:pPr>
    </w:p>
    <w:p>
      <w:pPr>
        <w:ind w:right="200" w:firstLine="656"/>
        <w:spacing w:after="0" w:line="313" w:lineRule="auto"/>
        <w:tabs>
          <w:tab w:leader="none" w:pos="81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700" w:firstLine="656"/>
        <w:spacing w:after="0" w:line="329" w:lineRule="auto"/>
        <w:tabs>
          <w:tab w:leader="none" w:pos="82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w:t>
      </w:r>
    </w:p>
    <w:p>
      <w:pPr>
        <w:spacing w:after="0" w:line="49" w:lineRule="exact"/>
        <w:rPr>
          <w:rFonts w:ascii="Times New Roman" w:cs="Times New Roman" w:eastAsia="Times New Roman" w:hAnsi="Times New Roman"/>
          <w:sz w:val="18"/>
          <w:szCs w:val="18"/>
          <w:color w:val="auto"/>
        </w:rPr>
      </w:pPr>
    </w:p>
    <w:p>
      <w:pPr>
        <w:ind w:right="2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80" w:firstLine="8"/>
        <w:spacing w:after="0" w:line="313"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right="100" w:firstLine="656"/>
        <w:spacing w:after="0" w:line="313" w:lineRule="auto"/>
        <w:tabs>
          <w:tab w:leader="none" w:pos="81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right="60" w:firstLine="656"/>
        <w:spacing w:after="0" w:line="313" w:lineRule="auto"/>
        <w:tabs>
          <w:tab w:leader="none" w:pos="82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68"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/s/ Luis Visoso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51435</wp:posOffset>
            </wp:positionV>
            <wp:extent cx="31292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70"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Luis Visoso</w:t>
      </w:r>
    </w:p>
    <w:p>
      <w:pPr>
        <w:spacing w:after="0" w:line="10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9"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 2026</w:t>
      </w:r>
    </w:p>
    <w:p>
      <w:pPr>
        <w:sectPr>
          <w:pgSz w:w="11900" w:h="16838" w:orient="portrait"/>
          <w:cols w:equalWidth="0" w:num="1">
            <w:col w:w="11240"/>
          </w:cols>
          <w:pgMar w:left="320" w:top="900" w:right="339" w:bottom="1440" w:gutter="0" w:footer="0" w:header="0"/>
        </w:sectPr>
      </w:pPr>
    </w:p>
    <w:bookmarkStart w:id="55" w:name="page56"/>
    <w:bookmarkEnd w:id="55"/>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60"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8"/>
          <w:szCs w:val="18"/>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Sandisk Corporation specifically incorporates it by reference.</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162" w:lineRule="exact"/>
        <w:rPr>
          <w:sz w:val="20"/>
          <w:szCs w:val="20"/>
          <w:color w:val="auto"/>
        </w:rPr>
      </w:pPr>
    </w:p>
    <w:p>
      <w:pPr>
        <w:ind w:right="260"/>
        <w:spacing w:after="0" w:line="313"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Sandisk Corporation, a Delaware corporation (the “Company”), hereby certifies, to his knowledge, that:</w:t>
      </w:r>
    </w:p>
    <w:p>
      <w:pPr>
        <w:spacing w:after="0" w:line="68" w:lineRule="exact"/>
        <w:rPr>
          <w:sz w:val="20"/>
          <w:szCs w:val="20"/>
          <w:color w:val="auto"/>
        </w:rPr>
      </w:pPr>
    </w:p>
    <w:p>
      <w:pPr>
        <w:ind w:right="860" w:firstLine="8"/>
        <w:spacing w:after="0" w:line="313" w:lineRule="auto"/>
        <w:tabs>
          <w:tab w:leader="none" w:pos="2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April 3, 2026 (the “Report”) fully complies with the requirements of Section 13(a) or Section 15(d), as applicable, of the Securities Exchange Act of 1934, as amended; and</w:t>
      </w:r>
    </w:p>
    <w:p>
      <w:pPr>
        <w:spacing w:after="0" w:line="6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/s/ David V.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518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6"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David V. Goeckeler</w:t>
      </w:r>
    </w:p>
    <w:p>
      <w:pPr>
        <w:spacing w:after="0" w:line="2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 2026</w:t>
      </w:r>
    </w:p>
    <w:p>
      <w:pPr>
        <w:sectPr>
          <w:pgSz w:w="11900" w:h="16838" w:orient="portrait"/>
          <w:cols w:equalWidth="0" w:num="1">
            <w:col w:w="11240"/>
          </w:cols>
          <w:pgMar w:left="320" w:top="900" w:right="339" w:bottom="1440" w:gutter="0" w:footer="0" w:header="0"/>
        </w:sectPr>
      </w:pPr>
    </w:p>
    <w:bookmarkStart w:id="56" w:name="page57"/>
    <w:bookmarkEnd w:id="56"/>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60"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8"/>
          <w:szCs w:val="18"/>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Sandisk Corporation specifically incorporates it by reference.</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162" w:lineRule="exact"/>
        <w:rPr>
          <w:sz w:val="20"/>
          <w:szCs w:val="20"/>
          <w:color w:val="auto"/>
        </w:rPr>
      </w:pPr>
    </w:p>
    <w:p>
      <w:pPr>
        <w:ind w:right="260"/>
        <w:spacing w:after="0" w:line="313"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Sandisk Corporation, a Delaware corporation (the “Company”), hereby certifies, to his knowledge, that:</w:t>
      </w:r>
    </w:p>
    <w:p>
      <w:pPr>
        <w:spacing w:after="0" w:line="68" w:lineRule="exact"/>
        <w:rPr>
          <w:sz w:val="20"/>
          <w:szCs w:val="20"/>
          <w:color w:val="auto"/>
        </w:rPr>
      </w:pPr>
    </w:p>
    <w:p>
      <w:pPr>
        <w:ind w:right="860" w:firstLine="8"/>
        <w:spacing w:after="0" w:line="313" w:lineRule="auto"/>
        <w:tabs>
          <w:tab w:leader="none" w:pos="2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April 3, 2026 (the “Report”) fully complies with the requirements of Section 13(a) or Section 15(d), as applicable, of the Securities Exchange Act of 1934, as amended; and</w:t>
      </w:r>
    </w:p>
    <w:p>
      <w:pPr>
        <w:spacing w:after="0" w:line="6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/s/ Luis Visoso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51435</wp:posOffset>
            </wp:positionV>
            <wp:extent cx="30943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70"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color w:val="auto"/>
        </w:rPr>
        <w:t>Luis Visoso</w:t>
      </w:r>
    </w:p>
    <w:p>
      <w:pPr>
        <w:spacing w:after="0" w:line="102"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 2026</w:t>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lvl w:ilvl="1">
      <w:lvlJc w:val="left"/>
      <w:lvlText w:val="%2"/>
      <w:numFmt w:val="decimal"/>
      <w:start w:val="104"/>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lowerRoman"/>
      <w:start w:val="1"/>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91" Type="http://schemas.openxmlformats.org/officeDocument/2006/relationships/hyperlink" Target="https://www.sec.gov/Archives/edgar/data/2023554/000119312525033433/d849281dex21.htm" TargetMode="External"/><Relationship Id="rId92" Type="http://schemas.openxmlformats.org/officeDocument/2006/relationships/hyperlink" Target="https://www.sec.gov/Archives/edgar/data/2023554/000119312525033433/d849281dex31.htm" TargetMode="External"/><Relationship Id="rId93" Type="http://schemas.openxmlformats.org/officeDocument/2006/relationships/hyperlink" Target="https://www.sec.gov/Archives/edgar/data/2023554/000119312525027285/d229754dex31.htm" TargetMode="External"/><Relationship Id="rId94" Type="http://schemas.openxmlformats.org/officeDocument/2006/relationships/hyperlink" Target="https://www.sec.gov/Archives/edgar/data/2023554/000162828026004407/ex101agreementtoenhancecol.htm" TargetMode="External"/><Relationship Id="rId95" Type="http://schemas.openxmlformats.org/officeDocument/2006/relationships/hyperlink" Target="https://www.sec.gov/Archives/edgar/data/2023554/000162828026004407/ex102falsecondextensionagr.htm" TargetMode="External"/><Relationship Id="rId96" Type="http://schemas.openxmlformats.org/officeDocument/2006/relationships/hyperlink" Target="https://www.sec.gov/Archives/edgar/data/2023554/000162828026004407/ex103fplsecondextensionagr.htm" TargetMode="External"/><Relationship Id="rId97" Type="http://schemas.openxmlformats.org/officeDocument/2006/relationships/hyperlink" Target="https://www.sec.gov/Archives/edgar/data/2023554/000119312526122705/d13659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2026-05-01T16:00:51Z</dcterms:created>
  <dcterms:modified xsi:type="dcterms:W3CDTF">2026-05-01T16:00:51Z</dcterms:modified>
</cp:coreProperties>
</file>