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28, 2025</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18"/>
        </w:rPr>
        <w:t xml:space="preserve">For the transition period from </w:t>
      </w:r>
      <w:r>
        <w:rPr>
          <w:color w:val="000000"/>
          <w:u w:val="single"/>
        </w:rPr>
        <w:t>                   </w:t>
      </w:r>
      <w:r>
        <w:rPr>
          <w:rFonts w:ascii="Times New Roman;sans-serif" w:hAnsi="Times New Roman;sans-serif"/>
          <w:b/>
          <w:color w:val="000000"/>
          <w:sz w:val="18"/>
        </w:rPr>
        <w:t xml:space="preserve">to </w:t>
      </w:r>
      <w:r>
        <w:rPr>
          <w:color w:val="000000"/>
          <w:u w:val="single"/>
        </w:rPr>
        <w:t>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001-42420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Sandisk Corporation</w:t>
      </w:r>
    </w:p>
    <w:p>
      <w:pPr>
        <w:pStyle w:val="TextBody"/>
        <w:bidi w:val="0"/>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(Exact name of registrant as specified in its charter)</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26" w:type="dxa"/>
        <w:jc w:val="left"/>
        <w:tblInd w:w="0" w:type="dxa"/>
        <w:tblLayout w:type="fixed"/>
        <w:tblCellMar>
          <w:top w:w="28" w:type="dxa"/>
          <w:left w:w="28" w:type="dxa"/>
          <w:bottom w:w="28" w:type="dxa"/>
          <w:right w:w="28" w:type="dxa"/>
        </w:tblCellMar>
      </w:tblPr>
      <w:tblGrid>
        <w:gridCol w:w="124"/>
        <w:gridCol w:w="109"/>
        <w:gridCol w:w="109"/>
        <w:gridCol w:w="474"/>
        <w:gridCol w:w="474"/>
        <w:gridCol w:w="476"/>
        <w:gridCol w:w="230"/>
        <w:gridCol w:w="230"/>
        <w:gridCol w:w="231"/>
        <w:gridCol w:w="285"/>
        <w:gridCol w:w="285"/>
        <w:gridCol w:w="286"/>
        <w:gridCol w:w="109"/>
        <w:gridCol w:w="109"/>
        <w:gridCol w:w="109"/>
        <w:gridCol w:w="703"/>
        <w:gridCol w:w="703"/>
        <w:gridCol w:w="7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99-1508671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951 Sandisk Drive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Milpitas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95035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(408) 801-1000</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247" w:type="dxa"/>
        <w:jc w:val="left"/>
        <w:tblInd w:w="0" w:type="dxa"/>
        <w:tblLayout w:type="fixed"/>
        <w:tblCellMar>
          <w:top w:w="28" w:type="dxa"/>
          <w:left w:w="28" w:type="dxa"/>
          <w:bottom w:w="28" w:type="dxa"/>
          <w:right w:w="28" w:type="dxa"/>
        </w:tblCellMar>
      </w:tblPr>
      <w:tblGrid>
        <w:gridCol w:w="1160"/>
        <w:gridCol w:w="1021"/>
        <w:gridCol w:w="1028"/>
        <w:gridCol w:w="519"/>
        <w:gridCol w:w="519"/>
        <w:gridCol w:w="521"/>
        <w:gridCol w:w="1019"/>
        <w:gridCol w:w="1019"/>
        <w:gridCol w:w="1441"/>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SNDK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550" w:type="dxa"/>
        <w:jc w:val="left"/>
        <w:tblInd w:w="0" w:type="dxa"/>
        <w:tblLayout w:type="fixed"/>
        <w:tblCellMar>
          <w:top w:w="28" w:type="dxa"/>
          <w:left w:w="28" w:type="dxa"/>
          <w:bottom w:w="28" w:type="dxa"/>
          <w:right w:w="28" w:type="dxa"/>
        </w:tblCellMar>
      </w:tblPr>
      <w:tblGrid>
        <w:gridCol w:w="603"/>
        <w:gridCol w:w="530"/>
        <w:gridCol w:w="532"/>
        <w:gridCol w:w="415"/>
        <w:gridCol w:w="415"/>
        <w:gridCol w:w="416"/>
        <w:gridCol w:w="519"/>
        <w:gridCol w:w="519"/>
        <w:gridCol w:w="521"/>
        <w:gridCol w:w="670"/>
        <w:gridCol w:w="670"/>
        <w:gridCol w:w="671"/>
        <w:gridCol w:w="605"/>
        <w:gridCol w:w="605"/>
        <w:gridCol w:w="85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36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18"/>
          <w:shd w:fill="FFFFFF" w:val="clear"/>
        </w:rPr>
        <w:t>As of</w:t>
      </w:r>
      <w:r>
        <w:rPr>
          <w:color w:val="000000"/>
        </w:rPr>
        <w:t xml:space="preserve"> </w:t>
      </w:r>
      <w:r>
        <w:rPr>
          <w:rFonts w:ascii="Times New Roman;sans-serif" w:hAnsi="Times New Roman;sans-serif"/>
          <w:b w:val="false"/>
          <w:color w:val="000000"/>
          <w:sz w:val="18"/>
        </w:rPr>
        <w:t>the close of business on May 5, 2025, 145,299,218 shares of common stock, par value $0.01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SANDISK CORPORATION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INDEX</w:t>
      </w:r>
    </w:p>
    <w:tbl>
      <w:tblPr>
        <w:tblW w:w="10205" w:type="dxa"/>
        <w:jc w:val="left"/>
        <w:tblInd w:w="0" w:type="dxa"/>
        <w:tblLayout w:type="fixed"/>
        <w:tblCellMar>
          <w:top w:w="28" w:type="dxa"/>
          <w:left w:w="28" w:type="dxa"/>
          <w:bottom w:w="28" w:type="dxa"/>
          <w:right w:w="28" w:type="dxa"/>
        </w:tblCellMar>
      </w:tblPr>
      <w:tblGrid>
        <w:gridCol w:w="275"/>
        <w:gridCol w:w="217"/>
        <w:gridCol w:w="212"/>
        <w:gridCol w:w="2673"/>
        <w:gridCol w:w="2575"/>
        <w:gridCol w:w="2584"/>
        <w:gridCol w:w="500"/>
        <w:gridCol w:w="497"/>
        <w:gridCol w:w="672"/>
      </w:tblGrid>
      <w:tr>
        <w:trPr/>
        <w:tc>
          <w:tcPr>
            <w:tcW w:w="2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 FINANCIAL INFORMATION</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1.</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Financial Statements (unaudited)</w:t>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Condensed Consolidated Balance Sheets — As of March 28, 2025 and June 28, 2024</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19">
              <w:r>
                <w:rPr>
                  <w:rStyle w:val="InternetLink"/>
                  <w:rFonts w:ascii="Times New Roman;sans-serif" w:hAnsi="Times New Roman;sans-serif"/>
                  <w:b w:val="false"/>
                  <w:color w:val="3635D6"/>
                  <w:sz w:val="18"/>
                  <w:u w:val="single"/>
                </w:rPr>
                <w:t>4</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Condensed Consolidated Statements of Operations — Three And Nine Months Ended March 28, 2025 and March 29, 2024</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22">
              <w:r>
                <w:rPr>
                  <w:rStyle w:val="InternetLink"/>
                  <w:rFonts w:ascii="Times New Roman;sans-serif" w:hAnsi="Times New Roman;sans-serif"/>
                  <w:b w:val="false"/>
                  <w:color w:val="3635D6"/>
                  <w:sz w:val="18"/>
                  <w:u w:val="single"/>
                </w:rPr>
                <w:t>5</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Condensed Consolidated Statements of Comprehensive Income (Loss) — Three And Nine Months Ended March 28, 2025 and March 29, 2024</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25">
              <w:r>
                <w:rPr>
                  <w:rStyle w:val="InternetLink"/>
                  <w:rFonts w:ascii="Times New Roman;sans-serif" w:hAnsi="Times New Roman;sans-serif"/>
                  <w:b w:val="false"/>
                  <w:color w:val="3635D6"/>
                  <w:sz w:val="18"/>
                  <w:u w:val="single"/>
                </w:rPr>
                <w:t>6</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Condensed Consolidated Statements of Cash Flows — Nine Months Ended March 28, 2025 and March 29, 2024</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28">
              <w:r>
                <w:rPr>
                  <w:rStyle w:val="InternetLink"/>
                  <w:rFonts w:ascii="Times New Roman;sans-serif" w:hAnsi="Times New Roman;sans-serif"/>
                  <w:b w:val="false"/>
                  <w:color w:val="3635D6"/>
                  <w:sz w:val="18"/>
                  <w:u w:val="single"/>
                </w:rPr>
                <w:t>7</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Condensed Consolidated Statements of Changes in Shareholders’ Equity — Three And Nine Months Ended March 28, 2025 and March 29, 2024</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31">
              <w:r>
                <w:rPr>
                  <w:rStyle w:val="InternetLink"/>
                  <w:rFonts w:ascii="Times New Roman;sans-serif" w:hAnsi="Times New Roman;sans-serif"/>
                  <w:b w:val="false"/>
                  <w:color w:val="3635D6"/>
                  <w:sz w:val="18"/>
                  <w:u w:val="single"/>
                </w:rPr>
                <w:t>8</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to Condensed Consolidated Financial Statements</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34">
              <w:r>
                <w:rPr>
                  <w:rStyle w:val="InternetLink"/>
                  <w:rFonts w:ascii="Times New Roman;sans-serif" w:hAnsi="Times New Roman;sans-serif"/>
                  <w:b w:val="false"/>
                  <w:color w:val="3635D6"/>
                  <w:sz w:val="18"/>
                  <w:u w:val="single"/>
                </w:rPr>
                <w:t>10</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2.</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Management’s Discussion and Analysis of Financial Condition and Results of Operations</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88">
              <w:r>
                <w:rPr>
                  <w:rStyle w:val="InternetLink"/>
                  <w:rFonts w:ascii="Times New Roman;sans-serif" w:hAnsi="Times New Roman;sans-serif"/>
                  <w:b w:val="false"/>
                  <w:color w:val="3635D6"/>
                  <w:sz w:val="18"/>
                  <w:u w:val="single"/>
                </w:rPr>
                <w:t>33</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3.</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Quantitative and Qualitative Disclosures About Market Risk</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106">
              <w:r>
                <w:rPr>
                  <w:rStyle w:val="InternetLink"/>
                  <w:rFonts w:ascii="Times New Roman;sans-serif" w:hAnsi="Times New Roman;sans-serif"/>
                  <w:b w:val="false"/>
                  <w:color w:val="3635D6"/>
                  <w:sz w:val="18"/>
                  <w:u w:val="single"/>
                </w:rPr>
                <w:t>45</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4.</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Controls and Procedures</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109">
              <w:r>
                <w:rPr>
                  <w:rStyle w:val="InternetLink"/>
                  <w:rFonts w:ascii="Times New Roman;sans-serif" w:hAnsi="Times New Roman;sans-serif"/>
                  <w:b w:val="false"/>
                  <w:color w:val="3635D6"/>
                  <w:sz w:val="18"/>
                  <w:u w:val="single"/>
                </w:rPr>
                <w:t>45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 OTHER INFORMATION</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1.</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Proceedings</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115">
              <w:r>
                <w:rPr>
                  <w:rStyle w:val="InternetLink"/>
                  <w:rFonts w:ascii="Times New Roman;sans-serif" w:hAnsi="Times New Roman;sans-serif"/>
                  <w:b w:val="false"/>
                  <w:color w:val="3635D6"/>
                  <w:sz w:val="18"/>
                  <w:u w:val="single"/>
                </w:rPr>
                <w:t>46</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1A.</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Factors</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118">
              <w:r>
                <w:rPr>
                  <w:rStyle w:val="InternetLink"/>
                  <w:rFonts w:ascii="Times New Roman;sans-serif" w:hAnsi="Times New Roman;sans-serif"/>
                  <w:b w:val="false"/>
                  <w:color w:val="3635D6"/>
                  <w:sz w:val="18"/>
                  <w:u w:val="single"/>
                </w:rPr>
                <w:t>46</w:t>
              </w:r>
            </w:hyperlink>
          </w:p>
        </w:tc>
      </w:tr>
      <w:tr>
        <w:trPr/>
        <w:tc>
          <w:tcPr>
            <w:tcW w:w="704" w:type="dxa"/>
            <w:gridSpan w:val="3"/>
            <w:tcBorders/>
            <w:vAlign w:val="center"/>
          </w:tcPr>
          <w:p>
            <w:pPr>
              <w:pStyle w:val="TableContents"/>
              <w:bidi w:val="0"/>
              <w:spacing w:before="0" w:after="283"/>
              <w:jc w:val="left"/>
              <w:rPr>
                <w:sz w:val="4"/>
                <w:szCs w:val="4"/>
              </w:rPr>
            </w:pPr>
            <w:r>
              <w:rPr>
                <w:sz w:val="4"/>
                <w:szCs w:val="4"/>
              </w:rPr>
            </w:r>
          </w:p>
        </w:tc>
        <w:tc>
          <w:tcPr>
            <w:tcW w:w="783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3"/>
            <w:tcBorders/>
            <w:vAlign w:val="center"/>
          </w:tcPr>
          <w:p>
            <w:pPr>
              <w:pStyle w:val="TableContents"/>
              <w:bidi w:val="0"/>
              <w:spacing w:before="0" w:after="283"/>
              <w:jc w:val="left"/>
              <w:rPr>
                <w:sz w:val="4"/>
                <w:szCs w:val="4"/>
              </w:rPr>
            </w:pPr>
            <w:r>
              <w:rPr>
                <w:sz w:val="4"/>
                <w:szCs w:val="4"/>
              </w:rPr>
            </w:r>
          </w:p>
        </w:tc>
        <w:tc>
          <w:tcPr>
            <w:tcW w:w="783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5.</w:t>
            </w:r>
          </w:p>
        </w:tc>
        <w:tc>
          <w:tcPr>
            <w:tcW w:w="7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Information</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121">
              <w:r>
                <w:rPr>
                  <w:rStyle w:val="InternetLink"/>
                  <w:rFonts w:ascii="Times New Roman;sans-serif" w:hAnsi="Times New Roman;sans-serif"/>
                  <w:b w:val="false"/>
                  <w:color w:val="3635D6"/>
                  <w:sz w:val="18"/>
                  <w:u w:val="single"/>
                </w:rPr>
                <w:t>47</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6.</w:t>
            </w:r>
          </w:p>
        </w:tc>
        <w:tc>
          <w:tcPr>
            <w:tcW w:w="7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Exhibits</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81020b280a4568bdb80d31bd0ea175_124">
              <w:r>
                <w:rPr>
                  <w:rStyle w:val="InternetLink"/>
                  <w:rFonts w:ascii="Times New Roman;sans-serif" w:hAnsi="Times New Roman;sans-serif"/>
                  <w:b w:val="false"/>
                  <w:color w:val="3635D6"/>
                  <w:sz w:val="18"/>
                  <w:u w:val="single"/>
                </w:rPr>
                <w:t>48</w:t>
              </w:r>
            </w:hyperlink>
          </w:p>
        </w:tc>
      </w:tr>
    </w:tbl>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references herein to specific years and quarters are to our fiscal years and fiscal quarters, and references to financial information are on a condensed consolidated basis. As used herein, the terms “we,” “us,” “our,” the “Company,” and “Sandisk” refer to Sandisk Corporation and its subsidiaries, unless we state, or the context indicates, otherwise.</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Sandisk, a Delaware corporation, is the parent company of our NAND flash data storage business. Our principal executive offices are located at 951 Sandisk Drive, Milpitas, California, 95035. Our telephone number is (408) 801-1000.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lineRule="auto" w:line="28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document contains forward-looking statements within the meaning of the federal securities laws. These forward-looking statements include but are not limited to, statements regarding Sandisk Corporation’s (the “Company’s”) expectations related to operating as an independent company, its product and technology developments and all statements regarding the Company’s expected future position, results of operations, cash flows, dividends, financing plans, business strategy, budgets, capital expenditures, competitive positions, growth opportunities, plans and objectives of management, and statements containing the use of forward-looking words, such as “may,” “will,” “could,” “would,” “should,” “project,” “believe,” “anticipate,” “expect,” “estimate,” “continue,” “potential,” “plan,” “forecast,” “approximate,” “intend,” “upside,” “target,” and the like, or the use of future tense of these or similar words. Statements contained herein concerning the Company’s expectations related to operating as an independent company, outlook or future economic performance, anticipated profitability, revenues, expenses, dividends, or other financial items, products or services line growth of the Company, and predicted market outcomes, together with other statements that are not historical facts, are forward-looking statements that are estimates reflecting the best judgment of the Company based upon currently available information. Statements concerning current conditions may also be forward-looking if they imply a continuation of current conditions. </w:t>
      </w:r>
    </w:p>
    <w:p>
      <w:pPr>
        <w:pStyle w:val="TextBody"/>
        <w:bidi w:val="0"/>
        <w:spacing w:lineRule="auto" w:line="28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These forward-looking statements are based upon management’s current expectations and represent the most current information available to us as of the date of this Quarterly Report on Form 10-Q. The Company is subject to a number of known and unknown risks, uncertainties and other factors, many of which the Company is unable to predict or control, that may cause actual results, performance or plans to differ materially from those expressed or implied by these forward-looking statements. These risks and uncertainties include, but are not limited to: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adverse changes in global or regional conditions, including the impact of changes in tariff policies or other trade restrictions;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supply chain risks, including our dependence on a limited number of qualified suppliers, the availability and cost of materials and components for our products, and disruptions to our supply chain;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damage or disruption to our operations or to those of our suppliers;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product defects;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our reliance on strategic relationships with key partners, including Kioxia Corporation;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development and introduction of new products or technologies and management of technology transitions;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future responses to and effects of public health crises;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loss of revenue from, or consolidation of, our key customers or increases in our customers’ credit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volatile demand and pricing trends and fluctuations in average selling prices;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our ability to respond to market and other changes in our distribution and retail market;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sales cyclicality and our ability to accurately forecast demand;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our level of debt;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fluctuations in currency exchange rates;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hiring and retention of key employees;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risks associated with legal or regulatory compliance, changing legal and regulatory requirements, and the impact and outcome of legal proceedings;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compromise, damage or interruptions from cybersecurity incidents or other data or system security risks;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reliance on intellectual property and other proprietary information;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future material impairments in the value of our goodwill, intangible assets, and other long-lived assets;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our ability to achieve some or all of the expected benefits of the spin-off and uncertainties regarding the impacts of the spin-off, including indemnification responsibilities and tax-related considerations;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our historical and pro forma financial information is not necessarily representative of the results that we would have achieved as a separate publicly traded company.</w:t>
      </w:r>
    </w:p>
    <w:p>
      <w:pPr>
        <w:pStyle w:val="TextBody"/>
        <w:bidi w:val="0"/>
        <w:spacing w:lineRule="auto" w:line="28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You are urged to carefully review our disclosures concerning these risks and the additional disclosures we make concerning material risks and other factors that may affect the outcome of our forward-looking statements and our business and operating results, including those made in our Registration Statement on Form 10, initially filed with the United States Securities and Exchange Commission on November 25, 2024, and as further amended thereafter and declared effective on January 31, 2025 (as amended, the “Form 10”), and in our Quarterly Report on Form 10-Q for the quarter ended December 27, 2024, as initially filed with the SEC on March 7, 2025 and amended on March 17, 2025.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ans-serif" w:hAnsi="Times New Roman;sans-serif"/>
          <w:b/>
          <w:color w:val="000000"/>
          <w:sz w:val="20"/>
        </w:rPr>
        <w:t>Item 1.    </w:t>
      </w:r>
      <w:r>
        <w:rPr>
          <w:rFonts w:ascii="Times New Roman;sans-serif" w:hAnsi="Times New Roman;sans-serif"/>
          <w:b/>
          <w:i/>
          <w:color w:val="000000"/>
          <w:sz w:val="20"/>
        </w:rPr>
        <w:t>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64" w:type="dxa"/>
        <w:jc w:val="left"/>
        <w:tblInd w:w="0" w:type="dxa"/>
        <w:tblLayout w:type="fixed"/>
        <w:tblCellMar>
          <w:top w:w="28" w:type="dxa"/>
          <w:left w:w="28" w:type="dxa"/>
          <w:bottom w:w="28" w:type="dxa"/>
          <w:right w:w="28" w:type="dxa"/>
        </w:tblCellMar>
      </w:tblPr>
      <w:tblGrid>
        <w:gridCol w:w="2529"/>
        <w:gridCol w:w="2221"/>
        <w:gridCol w:w="2240"/>
        <w:gridCol w:w="196"/>
        <w:gridCol w:w="646"/>
        <w:gridCol w:w="109"/>
        <w:gridCol w:w="109"/>
        <w:gridCol w:w="109"/>
        <w:gridCol w:w="109"/>
        <w:gridCol w:w="196"/>
        <w:gridCol w:w="646"/>
        <w:gridCol w:w="154"/>
      </w:tblGrid>
      <w:tr>
        <w:trPr/>
        <w:tc>
          <w:tcPr>
            <w:tcW w:w="252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926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due from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and investments in Flash Ventures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6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to related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due to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(Notes 10, 11, 14 and 16)</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 450 shares; issued and outstanding — 145 shares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from Western Digital Corporation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458" w:type="dxa"/>
        <w:jc w:val="left"/>
        <w:tblInd w:w="0" w:type="dxa"/>
        <w:tblLayout w:type="fixed"/>
        <w:tblCellMar>
          <w:top w:w="28" w:type="dxa"/>
          <w:left w:w="28" w:type="dxa"/>
          <w:bottom w:w="28" w:type="dxa"/>
          <w:right w:w="28" w:type="dxa"/>
        </w:tblCellMar>
      </w:tblPr>
      <w:tblGrid>
        <w:gridCol w:w="1011"/>
        <w:gridCol w:w="886"/>
        <w:gridCol w:w="893"/>
        <w:gridCol w:w="196"/>
        <w:gridCol w:w="631"/>
        <w:gridCol w:w="109"/>
        <w:gridCol w:w="109"/>
        <w:gridCol w:w="109"/>
        <w:gridCol w:w="109"/>
        <w:gridCol w:w="201"/>
        <w:gridCol w:w="572"/>
        <w:gridCol w:w="112"/>
        <w:gridCol w:w="109"/>
        <w:gridCol w:w="109"/>
        <w:gridCol w:w="109"/>
        <w:gridCol w:w="196"/>
        <w:gridCol w:w="631"/>
        <w:gridCol w:w="109"/>
        <w:gridCol w:w="109"/>
        <w:gridCol w:w="109"/>
        <w:gridCol w:w="109"/>
        <w:gridCol w:w="201"/>
        <w:gridCol w:w="571"/>
        <w:gridCol w:w="158"/>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separation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business divestiture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and 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pPr>
      <w:r>
        <w:rPr>
          <w:rFonts w:ascii="Times New Roman;sans-serif" w:hAnsi="Times New Roman;sans-serif"/>
          <w:b/>
          <w:color w:val="000000"/>
          <w:sz w:val="20"/>
          <w:shd w:fill="FFFFFF" w:val="clear"/>
        </w:rPr>
        <w:t>CONDENSED CONSOLIDATED STATEMENTS OF COMPREHENSIVE</w:t>
      </w:r>
      <w:r>
        <w:rPr>
          <w:color w:val="000000"/>
        </w:rPr>
        <w:t xml:space="preserve"> </w:t>
      </w:r>
      <w:r>
        <w:rPr>
          <w:rFonts w:ascii="Times New Roman;sans-serif" w:hAnsi="Times New Roman;sans-serif"/>
          <w:b/>
          <w:color w:val="000000"/>
          <w:sz w:val="20"/>
        </w:rPr>
        <w:t xml:space="preserve">INCOME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50"/>
        <w:gridCol w:w="1808"/>
        <w:gridCol w:w="1780"/>
        <w:gridCol w:w="196"/>
        <w:gridCol w:w="618"/>
        <w:gridCol w:w="109"/>
        <w:gridCol w:w="109"/>
        <w:gridCol w:w="109"/>
        <w:gridCol w:w="109"/>
        <w:gridCol w:w="234"/>
        <w:gridCol w:w="472"/>
        <w:gridCol w:w="129"/>
        <w:gridCol w:w="109"/>
        <w:gridCol w:w="109"/>
        <w:gridCol w:w="109"/>
        <w:gridCol w:w="196"/>
        <w:gridCol w:w="618"/>
        <w:gridCol w:w="109"/>
        <w:gridCol w:w="109"/>
        <w:gridCol w:w="109"/>
        <w:gridCol w:w="109"/>
        <w:gridCol w:w="211"/>
        <w:gridCol w:w="522"/>
        <w:gridCol w:w="172"/>
      </w:tblGrid>
      <w:tr>
        <w:trPr/>
        <w:tc>
          <w:tcPr>
            <w:tcW w:w="205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5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tax:</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derivative contracts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before tax</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 related to items of other comprehensive income (loss), before tax</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97" w:type="dxa"/>
        <w:jc w:val="center"/>
        <w:tblInd w:w="0" w:type="dxa"/>
        <w:tblLayout w:type="fixed"/>
        <w:tblCellMar>
          <w:top w:w="28" w:type="dxa"/>
          <w:left w:w="28" w:type="dxa"/>
          <w:bottom w:w="28" w:type="dxa"/>
          <w:right w:w="28" w:type="dxa"/>
        </w:tblCellMar>
      </w:tblPr>
      <w:tblGrid>
        <w:gridCol w:w="2211"/>
        <w:gridCol w:w="1939"/>
        <w:gridCol w:w="1955"/>
        <w:gridCol w:w="196"/>
        <w:gridCol w:w="631"/>
        <w:gridCol w:w="109"/>
        <w:gridCol w:w="109"/>
        <w:gridCol w:w="109"/>
        <w:gridCol w:w="109"/>
        <w:gridCol w:w="215"/>
        <w:gridCol w:w="545"/>
        <w:gridCol w:w="169"/>
      </w:tblGrid>
      <w:tr>
        <w:trPr/>
        <w:tc>
          <w:tcPr>
            <w:tcW w:w="2211"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portion of impairment of cost method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business divestiture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discounts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loss in investees, net of dividends received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operating activities,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accrued interest on Notes due to Western Digital Corporation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to related 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dispositions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issuances to Flash Ventures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proceeds from Flash Ventures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Flash Ventures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investments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on vested stock awards under employee stock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Notes due to Western Digital Corporation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principal repayments on Notes due from Western Digital Corporation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principal on Notes due to Western Digital Corporation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from (to) Western Digital Corporation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Origination of Notes due from Western Digital Corporation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for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transfers of:</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due to (from) Western Digital Corporation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 from Western Digital Corporation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of equity interest in Unis Venture from Western Digital Corporation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from Western Digital Corporation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balances to Western Digital Corporation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indemnification liability to Western Digital Corporation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84"/>
        <w:gridCol w:w="260"/>
        <w:gridCol w:w="263"/>
        <w:gridCol w:w="210"/>
        <w:gridCol w:w="211"/>
        <w:gridCol w:w="211"/>
        <w:gridCol w:w="109"/>
        <w:gridCol w:w="109"/>
        <w:gridCol w:w="109"/>
        <w:gridCol w:w="207"/>
        <w:gridCol w:w="428"/>
        <w:gridCol w:w="116"/>
        <w:gridCol w:w="109"/>
        <w:gridCol w:w="109"/>
        <w:gridCol w:w="109"/>
        <w:gridCol w:w="199"/>
        <w:gridCol w:w="658"/>
        <w:gridCol w:w="111"/>
        <w:gridCol w:w="109"/>
        <w:gridCol w:w="109"/>
        <w:gridCol w:w="109"/>
        <w:gridCol w:w="252"/>
        <w:gridCol w:w="738"/>
        <w:gridCol w:w="143"/>
        <w:gridCol w:w="109"/>
        <w:gridCol w:w="109"/>
        <w:gridCol w:w="109"/>
        <w:gridCol w:w="353"/>
        <w:gridCol w:w="786"/>
        <w:gridCol w:w="197"/>
        <w:gridCol w:w="109"/>
        <w:gridCol w:w="109"/>
        <w:gridCol w:w="109"/>
        <w:gridCol w:w="228"/>
        <w:gridCol w:w="756"/>
        <w:gridCol w:w="128"/>
        <w:gridCol w:w="109"/>
        <w:gridCol w:w="109"/>
        <w:gridCol w:w="109"/>
        <w:gridCol w:w="196"/>
        <w:gridCol w:w="646"/>
        <w:gridCol w:w="162"/>
      </w:tblGrid>
      <w:tr>
        <w:trPr/>
        <w:tc>
          <w:tcPr>
            <w:tcW w:w="7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Net Investment from Western Digital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28, 2024</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on derivative contracts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 from Western Digital Corporation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27, 2024</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on derivative contracts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 to Western Digital Corporation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27, 2024</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income on derivative contracts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plans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Western Digital Corporation, including spin-off-related adjustments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and reclassification of net transfers from Western Digital Corporation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28, 2025</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 CONT.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8"/>
        <w:gridCol w:w="261"/>
        <w:gridCol w:w="263"/>
        <w:gridCol w:w="210"/>
        <w:gridCol w:w="210"/>
        <w:gridCol w:w="211"/>
        <w:gridCol w:w="109"/>
        <w:gridCol w:w="109"/>
        <w:gridCol w:w="109"/>
        <w:gridCol w:w="207"/>
        <w:gridCol w:w="428"/>
        <w:gridCol w:w="116"/>
        <w:gridCol w:w="109"/>
        <w:gridCol w:w="109"/>
        <w:gridCol w:w="109"/>
        <w:gridCol w:w="268"/>
        <w:gridCol w:w="556"/>
        <w:gridCol w:w="151"/>
        <w:gridCol w:w="109"/>
        <w:gridCol w:w="109"/>
        <w:gridCol w:w="109"/>
        <w:gridCol w:w="315"/>
        <w:gridCol w:w="653"/>
        <w:gridCol w:w="177"/>
        <w:gridCol w:w="109"/>
        <w:gridCol w:w="109"/>
        <w:gridCol w:w="109"/>
        <w:gridCol w:w="364"/>
        <w:gridCol w:w="811"/>
        <w:gridCol w:w="204"/>
        <w:gridCol w:w="109"/>
        <w:gridCol w:w="109"/>
        <w:gridCol w:w="109"/>
        <w:gridCol w:w="242"/>
        <w:gridCol w:w="800"/>
        <w:gridCol w:w="135"/>
        <w:gridCol w:w="109"/>
        <w:gridCol w:w="109"/>
        <w:gridCol w:w="109"/>
        <w:gridCol w:w="196"/>
        <w:gridCol w:w="646"/>
        <w:gridCol w:w="161"/>
      </w:tblGrid>
      <w:tr>
        <w:trPr/>
        <w:tc>
          <w:tcPr>
            <w:tcW w:w="6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Net Investment from Western Digital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on derivative contracts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 from Western Digital Corporation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29, 2023</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on derivative contracts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 from Western Digital Corporation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29, 2023</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on derivative contracts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 from Western Digital Corporation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29, 2024</w:t>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    Organization and Basis of Presentation</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Description of the Company</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Sandisk Corporation (“Company,” “we,” “us,” or “our”)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The Company operates primarily in the United States (“U.S.”), and also internationally, with a significant concentration in the Asia Pacific region.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30, 2023, Western Digital Corporation (“WDC”) announced that its board of directors (the “WDC Board of Directors”) authorized WDC management to pursue a plan to separate the Company into an independent public company (the “separation” or the “spin-off”). The separation received final approval by the WDC Board of Directors and was completed on February 21, 2025. Prior to February 21, 2025, the Company was wholly owned by WDC. On February 24, 2025, following the separation, the Company began trading as an independent, publicly traded company under the stock symbol “SNDK” on Nasdaq.</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WDC executed the spin-off of the Company through WDC’s pro rata distribution of 80.1% of the Company’s outstanding shares of common stock to holders of WDC’s common stock as of the close of business on February 21, 2025. Each WDC stockholder received one-third (1/3) of one share of the Company’s common stock for each share of WDC’s common stock held by such WDC stockholder as of February 12, 2025, the record date of the distribution. Upon completion of the separation, WDC owned 19.9% of the shares of the Company’s common stock, which WDC is expected to retain for a period of up to twelve months following the distribution.</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In connection with the separation, on February 21, 2025, the Company entered into definitive agreements with WDC that set forth the terms and conditions of the spin-off and provided a framework for the relationship between WDC and the Company following the separation. These agreements include the </w:t>
      </w:r>
      <w:r>
        <w:rPr>
          <w:rFonts w:ascii="Times New Roman;sans-serif" w:hAnsi="Times New Roman;sans-serif"/>
          <w:b w:val="false"/>
          <w:color w:val="000000"/>
          <w:sz w:val="20"/>
          <w:shd w:fill="FFFFFF" w:val="clear"/>
        </w:rPr>
        <w:t>Separation and Distribution Agreement, which contains certain key provisions related to the spin-off, as well as a Transition Services Agreement, a Tax Matters Agreement, an Employee Matters Agreement, an Intellectual Property Cross-License Agreement, a Transitional Trademark License Agreement, and a Stockholder and Registration Rights Agreement</w:t>
      </w:r>
      <w:r>
        <w:rPr>
          <w:rFonts w:ascii="Times New Roman;sans-serif" w:hAnsi="Times New Roman;sans-serif"/>
          <w:b w:val="false"/>
          <w:color w:val="000000"/>
          <w:sz w:val="20"/>
        </w:rPr>
        <w:t>, as described in and filed as Exhibits to the Company’s Current Report on Form 8-K on February 24, 2025 and incorporated by reference to this Quarterly Report on Form 10-Q. Additionally, the Company adopted certain compensation plans filed as Exhibits to the Company’s Registration Statement on Form 10, initially filed with the U.S. Securities and Exchange Commission (“SEC”) on November 25, 2024, and as further amended thereafter and declared effective on January 31, 2025 (as amended, the “Form 10”). The Company also entered into various sublease agreements and established a stock compensation incentive plan in connection with the separation.</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On February 21, 2025, in connection with the separation, the Company entered into a $1.5 billion revolving credit facility, which was undrawn at the separation date, and a $2.0 billion term loan facility due in 2032. The Company used a portion of the proceeds received from the term loan facility and cash on hand to make a net distribution payment of</w:t>
      </w:r>
      <w:r>
        <w:rPr>
          <w:color w:val="000000"/>
          <w:shd w:fill="FFFFFF" w:val="clear"/>
        </w:rPr>
        <w:t xml:space="preserve"> </w:t>
      </w:r>
      <w:r>
        <w:rPr>
          <w:rFonts w:ascii="Times New Roman;sans-serif" w:hAnsi="Times New Roman;sans-serif"/>
          <w:b w:val="false"/>
          <w:color w:val="000000"/>
          <w:sz w:val="20"/>
        </w:rPr>
        <w:t xml:space="preserve">$1.5 billion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WDC in exchange for assets, liabilities, and certain legal entities of WDC associated with the Company.</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separation, outstanding restricted stock units (“RSU”) and performance stock units (“PSU”) previously granted by WDC to employees of the Company were adjusted per the terms of the Employee Matters Agreement, in an attempt to maintain the economic value of those awards before and after the separation. Generally, continuing Sandisk employees with outstanding RSU awards held as of the spin-off date were converted solely to equivalent RSU awards of the Company, and any outstanding WDC RSU awards held as of the spin-off date were canceled. Outstanding RSU and PSU awards at the time of the spin-off, held by employees at levels equal to Vice President and above, were converted into RSU and PSU awards of both the Company and WDC.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completion of the separation was subject to certain conditions as described in our Form 10.</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The accounting policies followed by the Company are set forth in Note 1, </w:t>
      </w:r>
      <w:r>
        <w:rPr>
          <w:rFonts w:ascii="Times New Roman;sans-serif" w:hAnsi="Times New Roman;sans-serif"/>
          <w:b w:val="false"/>
          <w:i/>
          <w:color w:val="000000"/>
          <w:sz w:val="20"/>
        </w:rPr>
        <w:t>Organization and Basis of Presentation</w:t>
      </w:r>
      <w:r>
        <w:rPr>
          <w:color w:val="000000"/>
        </w:rPr>
        <w:t xml:space="preserve"> </w:t>
      </w:r>
      <w:r>
        <w:rPr>
          <w:rFonts w:ascii="Times New Roman;sans-serif" w:hAnsi="Times New Roman;sans-serif"/>
          <w:b w:val="false"/>
          <w:color w:val="000000"/>
          <w:sz w:val="20"/>
        </w:rPr>
        <w:t>of the Notes to the Combined Financial Statements for the year ended June 28, 2024, included in Exhibit 99.1 to our Form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2025, the Company became a standalone publicly traded company, and our financial statements are now presented on a consolidated basis. Prior to the separation, the Company’s historical combined financial information was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“Condensed Consolidated Financial Statements” and have been prepared in accordance with U.S. generally accepted accounting principles (“GAAP”).</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intercompany accounts and transactions within the Company have been eliminated in the preparation of the Condensed Consolidated Financial Statements.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noted, all figures within the Condensed Consolidated Financial Statements are stated in U.S. Dollars (USD) and millions.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Periods Prior to the Separation</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Prior to the separation on February 21, 2025, the Company was an operating segment of WDC. Consequently, standalone interim financial statements were not historically prepared for the Company.</w:t>
      </w:r>
      <w:r>
        <w:rPr>
          <w:color w:val="000000"/>
          <w:shd w:fill="FFFFFF" w:val="clear"/>
        </w:rPr>
        <w:t xml:space="preserve"> </w:t>
      </w:r>
      <w:r>
        <w:rPr>
          <w:rFonts w:ascii="Times New Roman;sans-serif" w:hAnsi="Times New Roman;sans-serif"/>
          <w:b w:val="false"/>
          <w:color w:val="000000"/>
          <w:sz w:val="20"/>
          <w:shd w:fill="FFFFFF" w:val="clear"/>
        </w:rPr>
        <w:t>The accompanying Condensed Consolidated Financial Statements were prepared based upon WDC’s historical consolidated interim financial statements and accounting records. They were presented on a standalone basis as if the Company’s operations had been conducted independently from WDC. The Company utilized allocations and carve-out methodologies to prepare these historic Condensed Consolidated Financial Statements. The Condensed Consolidated Financial Statements included the historical results of operations, financial position, and cash flows of the Company and were prepared in accordance with GAAP, and the Company has adopted accounting policies and practices generally accepted in the industry in which it operates. As no single legal entity of the Company had a controlling financial interest in any other legal entities, Condensed Consolidated Financial Statements were prepared.</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Intercompany transactions were eliminated. With the exception of balances associated with lending arrangements reflected within Notes due to (from) </w:t>
      </w:r>
      <w:r>
        <w:rPr>
          <w:rFonts w:ascii="Times New Roman;sans-serif" w:hAnsi="Times New Roman;sans-serif"/>
          <w:b w:val="false"/>
          <w:color w:val="000000"/>
          <w:sz w:val="20"/>
        </w:rPr>
        <w:t>Western Digital Corporation</w:t>
      </w:r>
      <w:r>
        <w:rPr>
          <w:color w:val="000000"/>
          <w:shd w:fill="FFFFFF" w:val="clear"/>
        </w:rPr>
        <w:t xml:space="preserve"> </w:t>
      </w:r>
      <w:r>
        <w:rPr>
          <w:rFonts w:ascii="Times New Roman;sans-serif" w:hAnsi="Times New Roman;sans-serif"/>
          <w:b w:val="false"/>
          <w:color w:val="000000"/>
          <w:sz w:val="20"/>
          <w:shd w:fill="FFFFFF" w:val="clear"/>
        </w:rPr>
        <w:t>in the Condensed Consolidated Balance Sheets, transactions between the Company and WDC were generally considered to be effectively settled in the Condensed Consolidated Financial Statements at the time the transactions were recorded. The total net effect of the settlement of these transactions was reflected in the Condensed Consolidated Statements of Cash Flows as a financing activity and in the Condensed Consolidated Balance Sheets as Net investment from Western Digital Corporation. General financing activities included the net impact of any cash movements resulting from WDC’s centralized treasury cash management.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The Condensed Consolidated Balance Sheets included all assets and liabilities that were identifiable or otherwise attributable to the Company. Assets and liabilities shared between the Company and WDC were included in the standalone financial statements to the extent that the asset was primarily used by the Company. If the Company was not the primary user of the asset, it was excluded entirely from the Condensed Consolidated Financial Statements. WDC historically used a centralized approach to cash management and financing of its operations, as needed. Certain of our cash was transferred to WDC according to centrally managed cash programs by treasury, and WDC funded our operating and investing activities, as needed. Cash transfers to and from WDC’s cash management accounts were reflected as a component of the Net investment from </w:t>
      </w:r>
      <w:r>
        <w:rPr>
          <w:rFonts w:ascii="Times New Roman;sans-serif" w:hAnsi="Times New Roman;sans-serif"/>
          <w:b w:val="false"/>
          <w:color w:val="000000"/>
          <w:sz w:val="20"/>
        </w:rPr>
        <w:t>Western Digital Corporation</w:t>
      </w:r>
      <w:r>
        <w:rPr>
          <w:color w:val="000000"/>
          <w:shd w:fill="FFFFFF" w:val="clear"/>
        </w:rPr>
        <w:t xml:space="preserve"> </w:t>
      </w:r>
      <w:r>
        <w:rPr>
          <w:rFonts w:ascii="Times New Roman;sans-serif" w:hAnsi="Times New Roman;sans-serif"/>
          <w:b w:val="false"/>
          <w:color w:val="000000"/>
          <w:sz w:val="20"/>
          <w:shd w:fill="FFFFFF" w:val="clear"/>
        </w:rPr>
        <w:t>in the Condensed Consolidated Balance Sheets. Cash and cash equivalents in our Condensed Consolidated Balance Sheets primarily represented cash held locally by entities included in our Condensed Consolidated Financial Statements.</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 of the debt obligations of WDC or corresponding interest expense were included in the Condensed Consolidated Financial Statements, as the Company was neither the legal obligor nor transferee for any portion of such debt. WDC’s debt obligations were secured by a lien on substantially all assets and properties of WDC and certain key subsidiaries, which included assets and properties of the Company prior to the completion of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Condensed Consolidated Statements of Operations and Comprehensive Income (Loss) included all revenues and costs directly attributable to the Company as well as an allocation of expenses related to facilities, functions, and services provided by WDC. Allocation of general corporate expenses from WDC included, but was not limited to, executive management, finance, tax, legal, information technology, employee benefits administration, treasury, risk management, procurement, and other shared services. These corporate expenses were allocated to the Company based on direct usage or benefit, where identifiable, with the remainder allocated based on headcount, revenue, or other relevant measures. The allocated costs were deemed to be settled between the Company and WDC in the period in which the expense was recorded in the Condensed Consolidated Statements of Operations. The Condensed Consolidated Statements of Cash Flows present these corporate expenses as cash flows from operating activities, as these costs were incurred by WDC on our behalf. We consider these allocations to be a reasonable reflection of the utilization of services by, or the benefits provided to, the Company. The allocations may not, however, reflect the expense the Company would have incurred as a standalone company for the periods presented. Additionally, these costs may not be indicative of the expenses that the Company will incur in the future or would have incurred if the Company had obtained these services from an unrelated third party. It is not practicable to estimate the actual costs that would have been incurred had the Company been a standalone company during the periods presented. The actual costs that may have been incurred would depend on a number of factors, including the chosen organizational structure, whether functions were outsourced or performed by employees, and decisions with respect to areas such as facilities, information technology, and operating infrastructure.</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WDC maintains various stock-based compensation plans at a corporate level. Employees of the Company participated in those programs, and a portion of the compensation cost associated with those plans was included in the Company’s Condensed Consolidated Statements of Operations for the periods presented in this Quarterly Report on Form 10-Q. Before the spin-off, stock-based compensation expense was included within Net investment from </w:t>
      </w:r>
      <w:r>
        <w:rPr>
          <w:rFonts w:ascii="Times New Roman;sans-serif" w:hAnsi="Times New Roman;sans-serif"/>
          <w:b w:val="false"/>
          <w:color w:val="000000"/>
          <w:sz w:val="20"/>
        </w:rPr>
        <w:t>Western Digital Corporation</w:t>
      </w:r>
      <w:r>
        <w:rPr>
          <w:rFonts w:ascii="Times New Roman;sans-serif" w:hAnsi="Times New Roman;sans-serif"/>
          <w:b w:val="false"/>
          <w:color w:val="000000"/>
          <w:sz w:val="20"/>
          <w:shd w:fill="FFFFFF" w:val="clear"/>
        </w:rPr>
        <w:t>. The amounts presented in the Condensed Consolidated Financial Statements are not necessarily indicative of future awards and may not reflect the results that the Company would have experienced as a standalone entity.</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and deferred income taxes and related tax expenses were determined based on the standalone results of the Company by applying Accounting Standards Codification (“ASC”) No. 740, Income Taxes, to the Company’s operations in each country as if it were a separate taxpayer (i.e., following the “Separate Return Methodology”).</w:t>
      </w:r>
    </w:p>
    <w:p>
      <w:pPr>
        <w:pStyle w:val="TextBody"/>
        <w:bidi w:val="0"/>
        <w:spacing w:lineRule="auto" w:line="288" w:before="0" w:after="120"/>
        <w:ind w:left="0" w:right="0" w:firstLine="180"/>
        <w:jc w:val="left"/>
        <w:rPr/>
      </w:pPr>
      <w:r>
        <w:rPr>
          <w:rFonts w:ascii="Times New Roman;sans-serif" w:hAnsi="Times New Roman;sans-serif"/>
          <w:b/>
          <w:i/>
          <w:color w:val="000000"/>
          <w:sz w:val="20"/>
          <w:shd w:fill="FFFFFF" w:val="clear"/>
        </w:rPr>
        <w:t>P</w:t>
      </w:r>
      <w:r>
        <w:rPr>
          <w:rFonts w:ascii="Times New Roman;sans-serif" w:hAnsi="Times New Roman;sans-serif"/>
          <w:b/>
          <w:i/>
          <w:color w:val="000000"/>
          <w:sz w:val="20"/>
        </w:rPr>
        <w:t>eriods Post Separation</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After the separation on February 21, 2025, the Company’s financial statements for the period from February 22, 2025, through March 28, 2025 are consolidated financial statements based on the Company’s reported results as a standalone company. All significant transactions and accounts within the Company were eliminated. Intercompany transactions between the Company and WDC prior to the separation were included within Net investment from Western Digital Corporation on the accompanying Consolidated Financial Statements or were paid in cash.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Following the separation, certain functions continue to be provided by or for WDC for up to fifteen months under the Transition Services Agreement (“TSA”) or are being performed using the Company</w:t>
      </w:r>
      <w:r>
        <w:rPr>
          <w:color w:val="000000"/>
        </w:rPr>
        <w:t>’</w:t>
      </w:r>
      <w:r>
        <w:rPr>
          <w:rFonts w:ascii="Times New Roman;sans-serif" w:hAnsi="Times New Roman;sans-serif"/>
          <w:b w:val="false"/>
          <w:color w:val="000000"/>
          <w:sz w:val="20"/>
          <w:shd w:fill="FFFFFF" w:val="clear"/>
        </w:rPr>
        <w:t xml:space="preserve">s own resources or third-party service providers. As of </w:t>
      </w:r>
      <w:r>
        <w:rPr>
          <w:rFonts w:ascii="Times New Roman;sans-serif" w:hAnsi="Times New Roman;sans-serif"/>
          <w:b w:val="false"/>
          <w:color w:val="000000"/>
          <w:sz w:val="20"/>
        </w:rPr>
        <w:t>March 28, 2025</w:t>
      </w:r>
      <w:r>
        <w:rPr>
          <w:rFonts w:ascii="Times New Roman;sans-serif" w:hAnsi="Times New Roman;sans-serif"/>
          <w:b w:val="false"/>
          <w:color w:val="000000"/>
          <w:sz w:val="20"/>
          <w:shd w:fill="FFFFFF" w:val="clear"/>
        </w:rPr>
        <w:t xml:space="preserve">, charges under the TSA were not material.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The Company incurred certain costs in its establishment as a standalone public company and expects to incur ongoing additional costs associated with operating as an independent, publicly traded company. Costs incurred for the </w:t>
      </w:r>
      <w:r>
        <w:rPr>
          <w:rFonts w:ascii="Times New Roman;sans-serif" w:hAnsi="Times New Roman;sans-serif"/>
          <w:b w:val="false"/>
          <w:color w:val="000000"/>
          <w:sz w:val="20"/>
        </w:rPr>
        <w:t>three and nine months ended</w:t>
      </w:r>
      <w:r>
        <w:rPr>
          <w:color w:val="000000"/>
          <w:shd w:fill="FFFFFF" w:val="clear"/>
        </w:rPr>
        <w:t xml:space="preserve"> </w:t>
      </w:r>
      <w:r>
        <w:rPr>
          <w:rFonts w:ascii="Times New Roman;sans-serif" w:hAnsi="Times New Roman;sans-serif"/>
          <w:b w:val="false"/>
          <w:color w:val="000000"/>
          <w:sz w:val="20"/>
        </w:rPr>
        <w:t>March 28, 2025</w:t>
      </w:r>
      <w:r>
        <w:rPr>
          <w:rFonts w:ascii="Times New Roman;sans-serif" w:hAnsi="Times New Roman;sans-serif"/>
          <w:b w:val="false"/>
          <w:color w:val="000000"/>
          <w:sz w:val="20"/>
          <w:shd w:fill="FFFFFF" w:val="clear"/>
        </w:rPr>
        <w:t>, are included in Business separation costs within our Condensed Consolidated Statements of Operations.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accompanying Condensed Consolidated Financial Statements pursuant to the rules and regulations of the SEC for interim financial reporting. These Condensed Consolidated Financial Statements are unaudited and, in our opinion, include all adjustments, consisting of normal recurring adjustments and accruals necessary for a fair presentation of our operations, financial position, and cash flows for the periods presented. Operating results for the periods presented are not necessarily indicative of the results that may be expected for the full fiscal year due to seasonal and other factors. Certain information and footnote disclosures normally included in financial statements prepared in accordance with GAAP have been omitted in accordance with the rules and regulations of the SEC. These Condensed Consolidated Financial Statements should be read in conjunction with the Company’s audited Combined Financial Statements and accompanying notes for the year ended June 28, 2024, included in our Form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Fiscal Year</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The Company’s fiscal year ends on the Friday nearest to June 30 and typically consists of 52 weeks. Approximately every five to six years, we report a 53-week fiscal year to align the fiscal year with the foregoing policy. Fiscal year 2025, which will end on </w:t>
      </w:r>
      <w:r>
        <w:rPr>
          <w:rFonts w:ascii="Times New Roman;sans-serif" w:hAnsi="Times New Roman;sans-serif"/>
          <w:b w:val="false"/>
          <w:color w:val="000000"/>
          <w:sz w:val="20"/>
        </w:rPr>
        <w:t>June 27, 2025</w:t>
      </w:r>
      <w:r>
        <w:rPr>
          <w:rFonts w:ascii="Times New Roman;sans-serif" w:hAnsi="Times New Roman;sans-serif"/>
          <w:b w:val="false"/>
          <w:color w:val="000000"/>
          <w:sz w:val="20"/>
          <w:shd w:fill="FFFFFF" w:val="clear"/>
        </w:rPr>
        <w:t xml:space="preserve">, and fiscal year 2024, which ended on </w:t>
      </w:r>
      <w:r>
        <w:rPr>
          <w:rFonts w:ascii="Times New Roman;sans-serif" w:hAnsi="Times New Roman;sans-serif"/>
          <w:b w:val="false"/>
          <w:color w:val="000000"/>
          <w:sz w:val="20"/>
        </w:rPr>
        <w:t>June 28, 2024</w:t>
      </w:r>
      <w:r>
        <w:rPr>
          <w:rFonts w:ascii="Times New Roman;sans-serif" w:hAnsi="Times New Roman;sans-serif"/>
          <w:b w:val="false"/>
          <w:color w:val="000000"/>
          <w:sz w:val="20"/>
          <w:shd w:fill="FFFFFF" w:val="clear"/>
        </w:rPr>
        <w:t>, are each comprised of 52 weeks, with all quarters presented consisting of 13 weeks. Unless otherwise indicated, references herein to specific years and quarters are to fiscal years and fiscal quarters, and references to financial information are on a condensed, consolidated basis.</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components of an enterprise for which separate financial information is available and are evaluated regularly by the Company’s Chief Operating Decision Maker (“CODM”) in deciding how to allocate resources and in assessing performance. The Company currently operates as both a single operating and reportable segment.</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Separation Costs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separation and transition costs related to the completion of its separation from WDC. The separation and transition costs are recorded within Business separation costs in the Condensed Consolidated Statements of Operations.</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made estimates and assumptions relating to the reporting of certain assets and liabilities in conformity with GAAP. These estimates and assumptions have been applied using methodologies that are consistent throughout the periods presented, with consideration given to the potential impacts of current macroeconomic conditions, including the evolving impacts from tariffs. However, actual results could differ materially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2.    Recent Accounting Pronouncements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an accounting standards update (“ASU”) No. 2023-07, “Segment Reporting (Topic 280): Improvements to Reportable Segment Disclosures,” which expands on segment reporting requirements primarily through enhanced disclosures surrounding significant segment expenses. This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expects to provide any required disclosures at that time.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ASU calls for enhanced income tax disclosure requirements surrounding the tabular rate reconciliation and income taxes paid. The Company is currently compiling the information required for these disclosures. These incremental disclosures will be required beginning with the Company’s financial statements for the year ending June 26, 2026, with early adoption permitted. The Company expects to provide any required disclosures at that time.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FASB issued ASU 2024-03, “Income Statement-Reporting Comprehensive Income-Expense Disaggregation Disclosures (Subtopic 220-40): Disaggregation of Income Statement Expenses,” which is intended to improve disclosures about the expenses of public entities. This ASU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ASU is effective on either a prospective or retrospective basis for fiscal years beginning after December 15, 2026, and interim periods within fiscal years beginning after December 15, 2027, with early adoption permitted. The Company is currently compiling the information required for these disclosures and assessing the basis of adoption. The Company expects to provide any required disclosures for annual reporting periods included in the Company’s financial statements for the year ending June 30,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3.    Geographic Information and Concentrations of Risk</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broad portfolio of technology and products addresses multiple end markets. Cloud represents a large and growing end market comprised primarily of products for public or private cloud environments and enterprise customers. Through the Client end market, the Company provides its original equipment manufacturer (“OEM”) and channel customers a broad array of high-performance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disaggregated revenue information was as follows:</w:t>
      </w:r>
    </w:p>
    <w:tbl>
      <w:tblPr>
        <w:tblW w:w="6936" w:type="dxa"/>
        <w:jc w:val="left"/>
        <w:tblInd w:w="0" w:type="dxa"/>
        <w:tblLayout w:type="fixed"/>
        <w:tblCellMar>
          <w:top w:w="28" w:type="dxa"/>
          <w:left w:w="28" w:type="dxa"/>
          <w:bottom w:w="28" w:type="dxa"/>
          <w:right w:w="28" w:type="dxa"/>
        </w:tblCellMar>
      </w:tblPr>
      <w:tblGrid>
        <w:gridCol w:w="856"/>
        <w:gridCol w:w="754"/>
        <w:gridCol w:w="760"/>
        <w:gridCol w:w="201"/>
        <w:gridCol w:w="572"/>
        <w:gridCol w:w="112"/>
        <w:gridCol w:w="109"/>
        <w:gridCol w:w="109"/>
        <w:gridCol w:w="109"/>
        <w:gridCol w:w="201"/>
        <w:gridCol w:w="572"/>
        <w:gridCol w:w="112"/>
        <w:gridCol w:w="109"/>
        <w:gridCol w:w="109"/>
        <w:gridCol w:w="109"/>
        <w:gridCol w:w="201"/>
        <w:gridCol w:w="572"/>
        <w:gridCol w:w="112"/>
        <w:gridCol w:w="109"/>
        <w:gridCol w:w="109"/>
        <w:gridCol w:w="109"/>
        <w:gridCol w:w="201"/>
        <w:gridCol w:w="571"/>
        <w:gridCol w:w="158"/>
      </w:tblGrid>
      <w:tr>
        <w:trPr/>
        <w:tc>
          <w:tcPr>
            <w:tcW w:w="85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end market:</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Client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geography:</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revenue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ans-serif" w:hAnsi="Times New Roman;sans-serif"/>
          <w:b w:val="false"/>
          <w:color w:val="000000"/>
          <w:sz w:val="20"/>
        </w:rPr>
        <w:t>The Company’s top 10 customers accounted fo</w:t>
      </w:r>
      <w:r>
        <w:rPr>
          <w:rFonts w:ascii="Times New Roman;sans-serif" w:hAnsi="Times New Roman;sans-serif"/>
          <w:b w:val="false"/>
          <w:color w:val="000000"/>
          <w:sz w:val="20"/>
          <w:shd w:fill="FFFFFF" w:val="clear"/>
        </w:rPr>
        <w:t xml:space="preserve">r 41% and 43% of its net revenue for the three and nine months ended March 28, 2025, respectively, and 43% and 41% of its net revenue for the three and nine months ended March 29, 2024, respectively. For the three months ended March 28, 2025, </w:t>
      </w:r>
      <w:r>
        <w:rPr>
          <w:rFonts w:ascii="Times New Roman;sans-serif" w:hAnsi="Times New Roman;sans-serif"/>
          <w:b w:val="false"/>
          <w:color w:val="000000"/>
          <w:sz w:val="20"/>
        </w:rPr>
        <w:t>one</w:t>
      </w:r>
      <w:r>
        <w:rPr>
          <w:color w:val="000000"/>
          <w:shd w:fill="FFFFFF" w:val="clear"/>
        </w:rPr>
        <w:t xml:space="preserve"> </w:t>
      </w: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ustomer accounted for more than 10% of the Company’s net revenue. For the nine months ended March 28, 2025 and the three and nine months ended March 29, 2024, no customer accounted for 10% of the Company’s net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4.    Revenues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Contract assets represent the Company’s rights to consideration where performance obligations are completed but the customer payments are not due until another performance obligation is satisfied. The Company had no contract assets as of March 28, 2025 or June 28, 2024. </w:t>
      </w:r>
      <w:r>
        <w:rPr>
          <w:rFonts w:ascii="Times New Roman;sans-serif" w:hAnsi="Times New Roman;sans-serif"/>
          <w:b w:val="false"/>
          <w:color w:val="000000"/>
          <w:sz w:val="20"/>
          <w:shd w:fill="FFFFFF" w:val="clear"/>
        </w:rPr>
        <w:t>Contract liabilities relate to customers’ payments in advance of performance under the contract and primarily relate to remaining performance obligations under professional service, support, and maintenance contracts. Contract liabilities as of March 28, 2025, and June 28, 2024, and changes in contract liabilities for the three and nine months ended March 28, 2025, and March 29, 2024, were not material.</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incurs sales commissions as direct incremental costs to obtain sales contracts. The Company has applied the practical expedient to recognize sales commissions as an expense when incurred if the amortization period is expected to be one year or less or the amount is not material, with these costs charged to Selling, general and administrative expenses. The Company had no other direct incremental costs to obtain contracts with an expected benefit of more than one year.</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the practical expedients and does not disclose the transaction price allocated to the remaining performance obligations for (i) arrangements with an original expected duration of one year or less, mainly consisting of professional service, support, and maintenance contracts, and (ii) variable consideration for sale-based or usage-based royalties for intellectual property license arrangements, which typically range longer than one year. The remaining performance obligations are mainly attributed to right-to-access patent license arrangements, professional service arrangements, and customer support and service contracts, which will be recognized over their contract period. The transaction price allocated to the remaining performance obligations as of March 28, 2025,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5.    Supplemental Financial Statement Data</w:t>
      </w:r>
    </w:p>
    <w:p>
      <w:pPr>
        <w:pStyle w:val="TextBody"/>
        <w:bidi w:val="0"/>
        <w:spacing w:lineRule="auto" w:line="288" w:before="0" w:after="12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goodwill activity for the period presented:</w:t>
      </w:r>
    </w:p>
    <w:tbl>
      <w:tblPr>
        <w:tblW w:w="3943" w:type="dxa"/>
        <w:jc w:val="left"/>
        <w:tblInd w:w="0" w:type="dxa"/>
        <w:tblLayout w:type="fixed"/>
        <w:tblCellMar>
          <w:top w:w="28" w:type="dxa"/>
          <w:left w:w="28" w:type="dxa"/>
          <w:bottom w:w="28" w:type="dxa"/>
          <w:right w:w="28" w:type="dxa"/>
        </w:tblCellMar>
      </w:tblPr>
      <w:tblGrid>
        <w:gridCol w:w="1058"/>
        <w:gridCol w:w="929"/>
        <w:gridCol w:w="937"/>
        <w:gridCol w:w="217"/>
        <w:gridCol w:w="632"/>
        <w:gridCol w:w="170"/>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28, 2024</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7,207</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8"/>
              </w:rPr>
              <w:t xml:space="preserve">Divestiture </w:t>
            </w:r>
            <w:r>
              <w:rPr>
                <w:rFonts w:ascii="Times New Roman;sans-serif" w:hAnsi="Times New Roman;sans-serif"/>
                <w:b w:val="false"/>
                <w:color w:val="000000"/>
                <w:sz w:val="12"/>
              </w:rPr>
              <w:t>(1)</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28, 2025</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4,997</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On September 28, 2024, the Company sold its majority interest in a subsidiary. See further discussion in Part 1, Item 1, Note 10, </w:t>
      </w:r>
      <w:r>
        <w:rPr>
          <w:rFonts w:ascii="Times New Roman;sans-serif" w:hAnsi="Times New Roman;sans-serif"/>
          <w:b w:val="false"/>
          <w:i/>
          <w:color w:val="000000"/>
          <w:sz w:val="18"/>
        </w:rPr>
        <w:t xml:space="preserve">Related Parties and Related Commitments and Contingencies </w:t>
      </w:r>
      <w:r>
        <w:rPr>
          <w:rFonts w:ascii="Times New Roman;sans-serif" w:hAnsi="Times New Roman;sans-serif"/>
          <w:b w:val="false"/>
          <w:color w:val="000000"/>
          <w:sz w:val="18"/>
        </w:rPr>
        <w:t>of the Notes to Condensed Consolidated Financial Statements included in this Quarterly Report on Form 10-Q.</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attributed to the Company represents the historical goodwill balances in WDC’s business arising from acquisitions specific to the Company.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its single operating segment was also its single reporting unit. 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assessment to determine the amount of impairment.</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use judgment when assessing goodwill for impairment, including evaluating the impact of industry and macroeconomic conditions and the determination of the fair value of the reporting unit. In addition, the estimates and assumptions used to determine the fair value as well as the actual carrying value may change based on future changes in the Company’s results of operations, macroeconomic conditions, or other factors. Changes in these estimates and assumptions could materially affect the Company’s assessment of the fair value and goodwill impairment. In addition, if negative macroeconomic conditions continue or worsen, goodwill could become impaired, which could result in an impairment charge and materially adversely affect the Company’s financial condition and results of operations.</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Subsequent to the completion of the separation, the Company identified potential impairment indicators related to macroeconomic indicators, industry developments, the trading price of the Company’s common stock and resulting market capitalization that warranted a quantitative impairment analysis of long-lived assets and goodwill.</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In accordance with FASB Accounting Standards Codification (“ASC”)</w:t>
      </w:r>
      <w:r>
        <w:rPr>
          <w:color w:val="000000"/>
          <w:shd w:fill="FFFFFF" w:val="clear"/>
        </w:rPr>
        <w:t xml:space="preserve"> </w:t>
      </w:r>
      <w:r>
        <w:rPr>
          <w:rFonts w:ascii="Times New Roman;sans-serif" w:hAnsi="Times New Roman;sans-serif"/>
          <w:b w:val="false"/>
          <w:color w:val="000000"/>
          <w:sz w:val="20"/>
          <w:shd w:fill="FFFFFF" w:val="clear"/>
        </w:rPr>
        <w:t>No. 360, Property, Plant, and Equipment</w:t>
      </w:r>
      <w:r>
        <w:rPr>
          <w:rFonts w:ascii="Times New Roman;sans-serif" w:hAnsi="Times New Roman;sans-serif"/>
          <w:b w:val="false"/>
          <w:color w:val="000000"/>
          <w:sz w:val="20"/>
        </w:rPr>
        <w:t xml:space="preserve">, the Company performed a recoverability test at the asset group level, which was determined to be equivalent to its reporting unit to assess potential impairments of long-lived assets comprised of property, plant and equipment. The results of the recoverability test showed that the estimated undiscounted net cash flows to be generated from the use and eventual disposition of the Company’s long-lived assets exceeded its net carrying value. As a result, no write-down of long-lived assets was recognized as of March 28, 2025.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Next, in accordance with </w:t>
      </w:r>
      <w:r>
        <w:rPr>
          <w:rFonts w:ascii="Times New Roman;sans-serif" w:hAnsi="Times New Roman;sans-serif"/>
          <w:b w:val="false"/>
          <w:color w:val="000000"/>
          <w:sz w:val="20"/>
          <w:shd w:fill="FFFFFF" w:val="clear"/>
        </w:rPr>
        <w:t>ASC</w:t>
      </w:r>
      <w:r>
        <w:rPr>
          <w:color w:val="000000"/>
        </w:rPr>
        <w:t xml:space="preserve"> </w:t>
      </w:r>
      <w:r>
        <w:rPr>
          <w:rFonts w:ascii="Times New Roman;sans-serif" w:hAnsi="Times New Roman;sans-serif"/>
          <w:b w:val="false"/>
          <w:color w:val="000000"/>
          <w:sz w:val="20"/>
        </w:rPr>
        <w:t xml:space="preserve">No. 350, </w:t>
      </w:r>
      <w:r>
        <w:rPr>
          <w:rFonts w:ascii="Times New Roman;sans-serif" w:hAnsi="Times New Roman;sans-serif"/>
          <w:b w:val="false"/>
          <w:color w:val="000000"/>
          <w:sz w:val="20"/>
          <w:shd w:fill="FFFFFF" w:val="clear"/>
        </w:rPr>
        <w:t>Intangibles - Goodwill and Other</w:t>
      </w:r>
      <w:r>
        <w:rPr>
          <w:rFonts w:ascii="Times New Roman;sans-serif" w:hAnsi="Times New Roman;sans-serif"/>
          <w:b w:val="false"/>
          <w:color w:val="000000"/>
          <w:sz w:val="20"/>
        </w:rPr>
        <w:t xml:space="preserve">, the Company performed a quantitative test by measuring the fair value of its reporting unit based on a weighing of two valuation methodologies: an income approach and a market approach.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income approach valued the projected discounted cash flows that are expected to be generated by the Company’s reporting unit and required judgments and estimates surrounding general economic conditions and company-specific performance inputs such as revenue growth rates, gross margins, operating costs, capital expenditures, assumed tax rates and other assumptions deemed reasonable by management.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approach valued the reporting unit based on financial performance and market multiples of comparable public companies, including consideration of a control premium representing the estimated amount a market participant would pay to obtain a controlling interest in the Company.</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The results of the quantitative test indicated that the carrying value of our reporting unit exceeded its estimated fair value, resulting in the recognition of a</w:t>
      </w:r>
      <w:r>
        <w:rPr>
          <w:color w:val="000000"/>
          <w:shd w:fill="FFFFFF" w:val="clear"/>
        </w:rPr>
        <w:t xml:space="preserve"> </w:t>
      </w:r>
      <w:r>
        <w:rPr>
          <w:rFonts w:ascii="Times New Roman;sans-serif" w:hAnsi="Times New Roman;sans-serif"/>
          <w:b w:val="false"/>
          <w:color w:val="000000"/>
          <w:sz w:val="20"/>
        </w:rPr>
        <w:t>$1.8 billion impairment charge as of, and for the period ended, March 28, 2025, which was recorded in the accompanying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March 29, 2024, there were no impairment charges recorded.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From time to time, in connection with factoring agreements, WDC has sold certain of our trade accounts receivable without recourse to third-party purchasers in exchange for cash.</w:t>
      </w:r>
      <w:r>
        <w:rPr>
          <w:color w:val="000000"/>
          <w:shd w:fill="FFFFFF" w:val="clear"/>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28, 2025</w:t>
      </w:r>
      <w:r>
        <w:rPr>
          <w:rFonts w:ascii="Times New Roman;sans-serif" w:hAnsi="Times New Roman;sans-serif"/>
          <w:b w:val="false"/>
          <w:color w:val="000000"/>
          <w:sz w:val="20"/>
          <w:shd w:fill="FFFFFF" w:val="clear"/>
        </w:rPr>
        <w:t xml:space="preserve">, the Company does not have any factoring agreements in place. During the nine months ended </w:t>
      </w:r>
      <w:r>
        <w:rPr>
          <w:rFonts w:ascii="Times New Roman;sans-serif" w:hAnsi="Times New Roman;sans-serif"/>
          <w:b w:val="false"/>
          <w:color w:val="000000"/>
          <w:sz w:val="20"/>
        </w:rPr>
        <w:t>March 28, 2025</w:t>
      </w:r>
      <w:r>
        <w:rPr>
          <w:rFonts w:ascii="Times New Roman;sans-serif" w:hAnsi="Times New Roman;sans-serif"/>
          <w:b w:val="false"/>
          <w:color w:val="000000"/>
          <w:sz w:val="20"/>
          <w:shd w:fill="FFFFFF" w:val="clear"/>
        </w:rPr>
        <w:t>, there were</w:t>
      </w:r>
      <w:r>
        <w:rPr>
          <w:color w:val="000000"/>
        </w:rPr>
        <w:t xml:space="preserve"> </w:t>
      </w:r>
      <w:r>
        <w:rPr>
          <w:rFonts w:ascii="Times New Roman;sans-serif" w:hAnsi="Times New Roman;sans-serif"/>
          <w:b w:val="false"/>
          <w:color w:val="000000"/>
          <w:sz w:val="20"/>
        </w:rPr>
        <w:t>no trade accounts receivable sold by WDC or the Company. During the nine months ended March 29, 2024, WDC sold trade accounts receivable of the Company and received cash proceeds of $339 million. The discounts on the trade accounts receivable sold during the period were not material and were recorded within Other expense, net, in the Condensed Consolidated Statements of Operations. There were no factored receivables outstanding as of March 28, 2025 and June 28, 2024.</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Inventories</w:t>
      </w:r>
    </w:p>
    <w:tbl>
      <w:tblPr>
        <w:tblW w:w="4758" w:type="dxa"/>
        <w:jc w:val="left"/>
        <w:tblInd w:w="0" w:type="dxa"/>
        <w:tblLayout w:type="fixed"/>
        <w:tblCellMar>
          <w:top w:w="28" w:type="dxa"/>
          <w:left w:w="28" w:type="dxa"/>
          <w:bottom w:w="28" w:type="dxa"/>
          <w:right w:w="28" w:type="dxa"/>
        </w:tblCellMar>
      </w:tblPr>
      <w:tblGrid>
        <w:gridCol w:w="957"/>
        <w:gridCol w:w="839"/>
        <w:gridCol w:w="844"/>
        <w:gridCol w:w="201"/>
        <w:gridCol w:w="572"/>
        <w:gridCol w:w="112"/>
        <w:gridCol w:w="109"/>
        <w:gridCol w:w="109"/>
        <w:gridCol w:w="109"/>
        <w:gridCol w:w="196"/>
        <w:gridCol w:w="55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component parts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Work-in-process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tbl>
      <w:tblPr>
        <w:tblW w:w="4736" w:type="dxa"/>
        <w:jc w:val="left"/>
        <w:tblInd w:w="0" w:type="dxa"/>
        <w:tblLayout w:type="fixed"/>
        <w:tblCellMar>
          <w:top w:w="28" w:type="dxa"/>
          <w:left w:w="28" w:type="dxa"/>
          <w:bottom w:w="28" w:type="dxa"/>
          <w:right w:w="28" w:type="dxa"/>
        </w:tblCellMar>
      </w:tblPr>
      <w:tblGrid>
        <w:gridCol w:w="989"/>
        <w:gridCol w:w="867"/>
        <w:gridCol w:w="874"/>
        <w:gridCol w:w="239"/>
        <w:gridCol w:w="513"/>
        <w:gridCol w:w="133"/>
        <w:gridCol w:w="109"/>
        <w:gridCol w:w="109"/>
        <w:gridCol w:w="109"/>
        <w:gridCol w:w="202"/>
        <w:gridCol w:w="434"/>
        <w:gridCol w:w="158"/>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improvements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and software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Construction-in-process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gross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Product warranty liability</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warranty accrual were as follows:</w:t>
      </w:r>
    </w:p>
    <w:tbl>
      <w:tblPr>
        <w:tblW w:w="8491" w:type="dxa"/>
        <w:jc w:val="left"/>
        <w:tblInd w:w="0" w:type="dxa"/>
        <w:tblLayout w:type="fixed"/>
        <w:tblCellMar>
          <w:top w:w="28" w:type="dxa"/>
          <w:left w:w="28" w:type="dxa"/>
          <w:bottom w:w="28" w:type="dxa"/>
          <w:right w:w="28" w:type="dxa"/>
        </w:tblCellMar>
      </w:tblPr>
      <w:tblGrid>
        <w:gridCol w:w="1407"/>
        <w:gridCol w:w="1234"/>
        <w:gridCol w:w="1244"/>
        <w:gridCol w:w="273"/>
        <w:gridCol w:w="461"/>
        <w:gridCol w:w="151"/>
        <w:gridCol w:w="119"/>
        <w:gridCol w:w="119"/>
        <w:gridCol w:w="119"/>
        <w:gridCol w:w="273"/>
        <w:gridCol w:w="461"/>
        <w:gridCol w:w="151"/>
        <w:gridCol w:w="109"/>
        <w:gridCol w:w="109"/>
        <w:gridCol w:w="109"/>
        <w:gridCol w:w="272"/>
        <w:gridCol w:w="461"/>
        <w:gridCol w:w="151"/>
        <w:gridCol w:w="113"/>
        <w:gridCol w:w="113"/>
        <w:gridCol w:w="113"/>
        <w:gridCol w:w="267"/>
        <w:gridCol w:w="452"/>
        <w:gridCol w:w="210"/>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accrual, beginning of period</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Charges to operations</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Utilization</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estimate related to pre-existing warranties</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accrual, end of period</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portion of the warranty accrual was classified in Accrued expenses and the long-term portion was classified in Other liabilities as noted below:</w:t>
      </w:r>
    </w:p>
    <w:tbl>
      <w:tblPr>
        <w:tblW w:w="4355" w:type="dxa"/>
        <w:jc w:val="left"/>
        <w:tblInd w:w="0" w:type="dxa"/>
        <w:tblLayout w:type="fixed"/>
        <w:tblCellMar>
          <w:top w:w="28" w:type="dxa"/>
          <w:left w:w="28" w:type="dxa"/>
          <w:bottom w:w="28" w:type="dxa"/>
          <w:right w:w="28" w:type="dxa"/>
        </w:tblCellMar>
      </w:tblPr>
      <w:tblGrid>
        <w:gridCol w:w="614"/>
        <w:gridCol w:w="538"/>
        <w:gridCol w:w="543"/>
        <w:gridCol w:w="273"/>
        <w:gridCol w:w="461"/>
        <w:gridCol w:w="151"/>
        <w:gridCol w:w="109"/>
        <w:gridCol w:w="109"/>
        <w:gridCol w:w="109"/>
        <w:gridCol w:w="231"/>
        <w:gridCol w:w="390"/>
        <w:gridCol w:w="128"/>
        <w:gridCol w:w="109"/>
        <w:gridCol w:w="109"/>
        <w:gridCol w:w="109"/>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accrual:</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warranty accrual</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liabilities</w:t>
      </w:r>
    </w:p>
    <w:tbl>
      <w:tblPr>
        <w:tblW w:w="4106" w:type="dxa"/>
        <w:jc w:val="left"/>
        <w:tblInd w:w="0" w:type="dxa"/>
        <w:tblLayout w:type="fixed"/>
        <w:tblCellMar>
          <w:top w:w="28" w:type="dxa"/>
          <w:left w:w="28" w:type="dxa"/>
          <w:bottom w:w="28" w:type="dxa"/>
          <w:right w:w="28" w:type="dxa"/>
        </w:tblCellMar>
      </w:tblPr>
      <w:tblGrid>
        <w:gridCol w:w="761"/>
        <w:gridCol w:w="668"/>
        <w:gridCol w:w="671"/>
        <w:gridCol w:w="239"/>
        <w:gridCol w:w="513"/>
        <w:gridCol w:w="133"/>
        <w:gridCol w:w="109"/>
        <w:gridCol w:w="109"/>
        <w:gridCol w:w="109"/>
        <w:gridCol w:w="202"/>
        <w:gridCol w:w="434"/>
        <w:gridCol w:w="158"/>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lease liability</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net tax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indemnification liability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separation, the Company recorded a $112 million liability to indemnify WDC as a result of the Tax Matters Agreement entered into between the parties in connection with the separation. The indemnification pertains to certain WDC tax positions where the underlying issues are determined to be related to the Company’s business before the spin-off. As WDC receives tax assessments, settles with tax authorities, or when the statute of limitation lapses, the indemnification liabilities will be reassessed and adjusted accordingly. This liability was subsequently reduced by approximately $2 million reflecting the outstanding balance as of March 28, 2025.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loss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(“AOCL”), net of tax, refers to expenses, gains, and losses that are recorded as an element of equity but are excluded from net income. The components of AOCL were as follows:</w:t>
      </w:r>
    </w:p>
    <w:tbl>
      <w:tblPr>
        <w:tblW w:w="10205" w:type="dxa"/>
        <w:jc w:val="left"/>
        <w:tblInd w:w="0" w:type="dxa"/>
        <w:tblLayout w:type="fixed"/>
        <w:tblCellMar>
          <w:top w:w="28" w:type="dxa"/>
          <w:left w:w="28" w:type="dxa"/>
          <w:bottom w:w="28" w:type="dxa"/>
          <w:right w:w="28" w:type="dxa"/>
        </w:tblCellMar>
      </w:tblPr>
      <w:tblGrid>
        <w:gridCol w:w="1198"/>
        <w:gridCol w:w="828"/>
        <w:gridCol w:w="836"/>
        <w:gridCol w:w="555"/>
        <w:gridCol w:w="1236"/>
        <w:gridCol w:w="310"/>
        <w:gridCol w:w="109"/>
        <w:gridCol w:w="109"/>
        <w:gridCol w:w="109"/>
        <w:gridCol w:w="624"/>
        <w:gridCol w:w="1389"/>
        <w:gridCol w:w="350"/>
        <w:gridCol w:w="109"/>
        <w:gridCol w:w="109"/>
        <w:gridCol w:w="109"/>
        <w:gridCol w:w="552"/>
        <w:gridCol w:w="1231"/>
        <w:gridCol w:w="442"/>
      </w:tblGrid>
      <w:tr>
        <w:trPr/>
        <w:tc>
          <w:tcPr>
            <w:tcW w:w="119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Income (Losses)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Accumulated Comprehensive Loss</w:t>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28, 2024</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related to items of other comprehensive income</w:t>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current-period other comprehensive income (loss)</w:t>
            </w:r>
          </w:p>
        </w:tc>
        <w:tc>
          <w:tcPr>
            <w:tcW w:w="1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 to Western Digital Corporation</w:t>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28, 2025</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March 28, 2025, the amounts reclassified out of AOCL were losses related to foreign exchange contracts, substantially all of which were charged to Cost of revenue in the Condensed Consolidated Statements of Operations.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28, 2025, substantially all existing net losses related to cash flow hedges recorded in AOCL are expected to be reclassified to earnings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6.    Fair Value Measurements and Investments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Financial Instruments Carried at Fair Value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that are remeasured and reported at fair value at each reporting period are classified and disclosed in one of the following three levels:</w:t>
      </w:r>
    </w:p>
    <w:p>
      <w:pPr>
        <w:pStyle w:val="TextBody"/>
        <w:bidi w:val="0"/>
        <w:spacing w:lineRule="auto" w:line="288" w:before="0" w:after="120"/>
        <w:ind w:left="0" w:right="0" w:firstLine="540"/>
        <w:jc w:val="left"/>
        <w:rPr/>
      </w:pPr>
      <w:r>
        <w:rPr>
          <w:rFonts w:ascii="Times New Roman;sans-serif" w:hAnsi="Times New Roman;sans-serif"/>
          <w:b w:val="false"/>
          <w:i/>
          <w:color w:val="000000"/>
          <w:sz w:val="20"/>
        </w:rPr>
        <w:t>Level 1.    </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0" w:after="120"/>
        <w:ind w:left="0" w:right="0" w:firstLine="540"/>
        <w:jc w:val="left"/>
        <w:rPr/>
      </w:pPr>
      <w:r>
        <w:rPr>
          <w:rFonts w:ascii="Times New Roman;sans-serif" w:hAnsi="Times New Roman;sans-serif"/>
          <w:b w:val="false"/>
          <w:i/>
          <w:color w:val="000000"/>
          <w:sz w:val="20"/>
        </w:rPr>
        <w:t>Level 2.    </w:t>
      </w:r>
      <w:r>
        <w:rPr>
          <w:rFonts w:ascii="Times New Roman;sans-serif" w:hAnsi="Times New Roman;sans-serif"/>
          <w:b w:val="false"/>
          <w:color w:val="000000"/>
          <w:sz w:val="20"/>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120"/>
        <w:ind w:left="0" w:right="0" w:firstLine="540"/>
        <w:jc w:val="left"/>
        <w:rPr/>
      </w:pPr>
      <w:r>
        <w:rPr>
          <w:rFonts w:ascii="Times New Roman;sans-serif" w:hAnsi="Times New Roman;sans-serif"/>
          <w:b w:val="false"/>
          <w:i/>
          <w:color w:val="000000"/>
          <w:sz w:val="20"/>
        </w:rPr>
        <w:t>Level 3.    </w:t>
      </w:r>
      <w:r>
        <w:rPr>
          <w:rFonts w:ascii="Times New Roman;sans-serif" w:hAnsi="Times New Roman;sans-serif"/>
          <w:b w:val="false"/>
          <w:color w:val="000000"/>
          <w:sz w:val="20"/>
        </w:rPr>
        <w:t>Inputs that are unobservable for the asset or liability and that are significant to the fair value of the assets or liabilities.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W w:w="8355" w:type="dxa"/>
        <w:jc w:val="left"/>
        <w:tblInd w:w="0" w:type="dxa"/>
        <w:tblLayout w:type="fixed"/>
        <w:tblCellMar>
          <w:top w:w="28" w:type="dxa"/>
          <w:left w:w="28" w:type="dxa"/>
          <w:bottom w:w="28" w:type="dxa"/>
          <w:right w:w="28" w:type="dxa"/>
        </w:tblCellMar>
      </w:tblPr>
      <w:tblGrid>
        <w:gridCol w:w="1605"/>
        <w:gridCol w:w="1416"/>
        <w:gridCol w:w="1434"/>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196"/>
        <w:gridCol w:w="421"/>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 2025</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 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 (included in Other current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at fair value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55" w:type="dxa"/>
        <w:jc w:val="left"/>
        <w:tblInd w:w="0" w:type="dxa"/>
        <w:tblLayout w:type="fixed"/>
        <w:tblCellMar>
          <w:top w:w="28" w:type="dxa"/>
          <w:left w:w="28" w:type="dxa"/>
          <w:bottom w:w="28" w:type="dxa"/>
          <w:right w:w="28" w:type="dxa"/>
        </w:tblCellMar>
      </w:tblPr>
      <w:tblGrid>
        <w:gridCol w:w="1605"/>
        <w:gridCol w:w="1416"/>
        <w:gridCol w:w="1434"/>
        <w:gridCol w:w="196"/>
        <w:gridCol w:w="406"/>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 2024</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 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 (included in Other current assets)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at fair value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the Company had no transfers of financial instruments between levels, and there were no changes in valuation techniques or the inputs used in the fair value measurement.</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Financial Instruments Not Carried at Fair value</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Financial instruments not recorded at fair value on a recurring basis (debt) had an estimated fair value of $2.0 billion at the end of the third quarter of 2025. The fair value of the debt was determined based on observable market prices in less active markets. The fair values do not indicate the amount we would have to pay to extinguish the debt. For more information regarding debt, see Part 1, Item 1, Note 8,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of the Notes to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7.    Derivative Instruments and Hedging Activities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28, 2025, the Company had outstanding foreign exchange forward contracts that were designated as either cash flow hedges or non-designated hedges. Substantially all of the contract maturity dates of these foreign exchange forward contracts do not exceed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Changes in the fair values of the non-designated foreign exchange contracts are recognized in Other expense, net, and are largely offset by corresponding changes in the fair values of the foreign currency-denominated monetary assets and liabilities. For the three months ended March 28, 2025 and March 29, 2024, total net realized and unrealized transactions and foreign exchange contract currency were a </w:t>
      </w:r>
      <w:r>
        <w:rPr>
          <w:rFonts w:ascii="Times New Roman;sans-serif" w:hAnsi="Times New Roman;sans-serif"/>
          <w:b w:val="false"/>
          <w:color w:val="000000"/>
          <w:sz w:val="20"/>
          <w:shd w:fill="FFFFFF" w:val="clear"/>
        </w:rPr>
        <w:t xml:space="preserve">$8 million </w:t>
      </w:r>
      <w:r>
        <w:rPr>
          <w:rFonts w:ascii="Times New Roman;sans-serif" w:hAnsi="Times New Roman;sans-serif"/>
          <w:b w:val="false"/>
          <w:color w:val="000000"/>
          <w:sz w:val="20"/>
        </w:rPr>
        <w:t>gain and zero, respectively. For the nine months ended March 28, 2025 and March 29, 2024, total net realized and unrealized transactions and foreign exchange contract currency wer</w:t>
      </w:r>
      <w:r>
        <w:rPr>
          <w:rFonts w:ascii="Times New Roman;sans-serif" w:hAnsi="Times New Roman;sans-serif"/>
          <w:b w:val="false"/>
          <w:color w:val="000000"/>
          <w:sz w:val="20"/>
          <w:shd w:fill="FFFFFF" w:val="clear"/>
        </w:rPr>
        <w:t xml:space="preserve">e a $17 million </w:t>
      </w:r>
      <w:r>
        <w:rPr>
          <w:rFonts w:ascii="Times New Roman;sans-serif" w:hAnsi="Times New Roman;sans-serif"/>
          <w:b w:val="false"/>
          <w:color w:val="000000"/>
          <w:sz w:val="20"/>
        </w:rPr>
        <w:t>loss and zero, respectively.</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Unrealized gains or losses on designated cash flow hedges are recognized in AOCL. For more information regarding cash flow hedges, see Part 1, Item 1, Note 5, </w:t>
      </w:r>
      <w:r>
        <w:rPr>
          <w:rFonts w:ascii="Times New Roman;sans-serif" w:hAnsi="Times New Roman;sans-serif"/>
          <w:b w:val="false"/>
          <w:i/>
          <w:color w:val="000000"/>
          <w:sz w:val="20"/>
        </w:rPr>
        <w:t xml:space="preserve">Supplemental Financial Statement Data—Accumulated other comprehensive loss </w:t>
      </w:r>
      <w:r>
        <w:rPr>
          <w:rFonts w:ascii="Times New Roman;sans-serif" w:hAnsi="Times New Roman;sans-serif"/>
          <w:b w:val="false"/>
          <w:color w:val="000000"/>
          <w:sz w:val="20"/>
        </w:rPr>
        <w:t>of the Notes to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8.    Debt</w:t>
      </w:r>
    </w:p>
    <w:p>
      <w:pPr>
        <w:pStyle w:val="TextBody"/>
        <w:bidi w:val="0"/>
        <w:spacing w:lineRule="auto" w:line="288" w:before="0" w:after="12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Loan Agreement</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consisted of the following: </w:t>
      </w:r>
    </w:p>
    <w:tbl>
      <w:tblPr>
        <w:tblW w:w="5115" w:type="dxa"/>
        <w:jc w:val="left"/>
        <w:tblInd w:w="0" w:type="dxa"/>
        <w:tblLayout w:type="fixed"/>
        <w:tblCellMar>
          <w:top w:w="28" w:type="dxa"/>
          <w:left w:w="28" w:type="dxa"/>
          <w:bottom w:w="28" w:type="dxa"/>
          <w:right w:w="28" w:type="dxa"/>
        </w:tblCellMar>
      </w:tblPr>
      <w:tblGrid>
        <w:gridCol w:w="1467"/>
        <w:gridCol w:w="1289"/>
        <w:gridCol w:w="1294"/>
        <w:gridCol w:w="230"/>
        <w:gridCol w:w="654"/>
        <w:gridCol w:w="181"/>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 xml:space="preserve">(in millions) </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interest rate Term Loan Facility maturing 2032</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$1.5B Revolving Credit Facility maturing 2030</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long-term debt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 term debt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21, 2025, the Company entered into a Loan Agreement (the “Loan Agreement”) by and among the Company, the lenders party thereto, JPMorgan Chase Bank, N.A., as administrative agent and collateral agent and the other parties party thereto. The Loan Agreement comprises a term loan B facility in the principal amount of $2 billion (the “Term Loan Facility”) and a revolving credit facility in the principal amount of $1.5 billion (the “Revolving Credit Facility” and together with the Term Loan Facility, the “Facilities”). </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obligations under the Loan Agreement are guaranteed by the Company’s wholly-owned subsidiary, Sandisk Technologies, Inc. (“SDT”), and are required to be guaranteed by any of the Company’s future material U.S. wholly-owned subsidiaries, subject to certain exceptions outlined in the Loan Agreement. The obligations under the Loan Agreement are secured by the Company’s assets and SDT’s assets and are required to be secured by the assets of any of the Company’s future material U.S. wholly-owned subsidiaries, subject, in each case, to certain exceptions outlined in the Loan Agreement.</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Loan Agreement includes certain restrictions (subject to certain exceptions outlined in the Loan Agreement) on the ability of the Company and its subsidiaries to undertake certain activities, including to incur indebtedness and liens, merge or consolidate with other entities, dispose or transfer their assets, pay dividends or make distributions, make investments, make payments on junior or subordinated debt, enter into burdensome agreements or transact with affiliates. The Loan Agreement also includes a financial covenant, which is solely for the benefit of the lenders under the Revolving Credit Facility, that requires the Company to maintain a maximum Leverage Ratio (as defined in the Loan Agreement).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On February 21, 2025, the Company borrowed $2 billion under its Term Loan Facility. The Company used a portion of the proceeds of the borrowing </w:t>
      </w:r>
      <w:r>
        <w:rPr>
          <w:rFonts w:ascii="Times New Roman;sans-serif" w:hAnsi="Times New Roman;sans-serif"/>
          <w:b w:val="false"/>
          <w:color w:val="000000"/>
          <w:sz w:val="20"/>
        </w:rPr>
        <w:t>to make a net distribution payment of</w:t>
      </w:r>
      <w:r>
        <w:rPr>
          <w:color w:val="000000"/>
          <w:shd w:fill="FFFFFF" w:val="clear"/>
        </w:rPr>
        <w:t xml:space="preserve"> </w:t>
      </w:r>
      <w:r>
        <w:rPr>
          <w:rFonts w:ascii="Times New Roman;sans-serif" w:hAnsi="Times New Roman;sans-serif"/>
          <w:b w:val="false"/>
          <w:color w:val="000000"/>
          <w:sz w:val="20"/>
          <w:shd w:fill="FFFFFF" w:val="clear"/>
        </w:rPr>
        <w:t>$1.5 billion to WDC, with the remainder to be used for general corporate purposes of the Company. The Revolving Credit Facility may be borrowed by the Company from time to time for general corporate purposes.</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Loan Agreement, the Company and SDT entered into a security agreement to secure the obligations under the Facilities on a first-priority basis (subject to permitted liens) by a lien on substantially all the assets and properties of the Company and SDT, subject to certain exceptions.</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Loan Agreement, the Company (solely with respect to obligations of any additional Borrower under the Loan Agreement) and SDT entered into a guaranty agreement to secure and unconditionally guarantee the obligations under the Loan Agreement, respectively, in each case, subject to certain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 Loan Facility</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Term Loan Facility bears interest, at the Company’s option, at (x) the Adjusted Term SOFR Rate (as defined in the Loan Agreement) plus an interest rate margin of 3.00% per annum or (y) a base rate plus an interest rate margin of 2.00% per annum. </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outstanding principal balance of the Term Loan Facility is required to be repaid in quarterly installments beginning on June 27, 2025, in an aggregate amount equal to 0.25% of the aggregate principal amount of the Term Loan Facility and a final payment comprised of all principal and interest due and payable at maturity on February 20, 2032.</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In connection with the issuance of the Term Loan Facility, the Company recognized issuance costs of </w:t>
      </w:r>
      <w:r>
        <w:rPr>
          <w:rFonts w:ascii="Times New Roman;sans-serif" w:hAnsi="Times New Roman;sans-serif"/>
          <w:b w:val="false"/>
          <w:color w:val="000000"/>
          <w:sz w:val="20"/>
        </w:rPr>
        <w:t>$54 million</w:t>
      </w:r>
      <w:r>
        <w:rPr>
          <w:rFonts w:ascii="Times New Roman;sans-serif" w:hAnsi="Times New Roman;sans-serif"/>
          <w:b w:val="false"/>
          <w:color w:val="000000"/>
          <w:sz w:val="20"/>
          <w:shd w:fill="FFFFFF" w:val="clear"/>
        </w:rPr>
        <w:t>, which will be amortized to Interest expense over the life of the facility.</w:t>
      </w:r>
    </w:p>
    <w:p>
      <w:pPr>
        <w:pStyle w:val="TextBody"/>
        <w:bidi w:val="0"/>
        <w:spacing w:lineRule="auto" w:line="288" w:before="0" w:after="120"/>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Revolving Credit Facility</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Borrowings under the Revolving Credit Facility, for U.S. dollar borrowings, will bear interest, at the Company’s option, at (x) the Adjusted Term SOFR Rate (as defined in the Loan Agreement), which rate includes a credit spread adjustment of 0.10%, plus an interest rate margin of 2.00% per annum (subject to step-ups based on the Company’s Leverage Ratio (as defined in the Loan Agreement)), or (y) a base rate plus an interest rate margin of 1.00% per annum (subject to step-ups based on the Company’s Leverage Ratio (as defined in the Loan Agreement)). The Company will pay a commitment fee of 0.30% per annum (subject to step-ups based on the Company’s Leverage Ratio (as defined in the Loan Agreement)) in respect of undrawn revolving commitments under the Revolving Credit Facility. The Revolving Credit Facility will also provide for borrowings in Euros, Yen, and additional currencies agreed to by the lenders under the Revolving Credit Facility. The Revolving Credit Facility will mature on February 21, 2030, at which time the commitments thereunder shall be terminated and will not have any amortization.</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In connection with the issuance of the Revolving Credit Facility, the Company recognized deferred costs, classified as Other non-current assets of </w:t>
      </w:r>
      <w:r>
        <w:rPr>
          <w:rFonts w:ascii="Times New Roman;sans-serif" w:hAnsi="Times New Roman;sans-serif"/>
          <w:b w:val="false"/>
          <w:color w:val="000000"/>
          <w:sz w:val="20"/>
        </w:rPr>
        <w:t>$8 million</w:t>
      </w:r>
      <w:r>
        <w:rPr>
          <w:rFonts w:ascii="Times New Roman;sans-serif" w:hAnsi="Times New Roman;sans-serif"/>
          <w:b w:val="false"/>
          <w:color w:val="000000"/>
          <w:sz w:val="20"/>
          <w:shd w:fill="FFFFFF" w:val="clear"/>
        </w:rPr>
        <w:t>, which will be amortized to Interest expense over the life of the facility.</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The Loan Agreement also includes a financial covenant, which is solely for the benefit of the lenders under the Revolving Credit Facility, that requires the Company to maintain a maximum Leverage Ratio (as defined in the Loan Agreement). </w:t>
      </w:r>
      <w:r>
        <w:rPr>
          <w:rFonts w:ascii="Times New Roman;sans-serif" w:hAnsi="Times New Roman;sans-serif"/>
          <w:b w:val="false"/>
          <w:color w:val="000000"/>
          <w:sz w:val="20"/>
        </w:rPr>
        <w:t>As of March 28, 2025, the Company was in compliance with the financial covenant.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As of March 28, 2025, the Company had no outstanding standby letters of credit, and the available capacity under the Revolving Credit Facility was </w:t>
      </w:r>
      <w:r>
        <w:rPr>
          <w:rFonts w:ascii="Times New Roman;sans-serif" w:hAnsi="Times New Roman;sans-serif"/>
          <w:b w:val="false"/>
          <w:color w:val="000000"/>
          <w:sz w:val="20"/>
          <w:shd w:fill="FFFFFF" w:val="clear"/>
        </w:rPr>
        <w:t>$1.5 billion</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9.    Employee Benefit Plans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Defined Benefit Plan</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The Company sponsors a defined benefit pension plan that is solely available for employees located in South Korea. As of March 28, 2025, and June 28, 2024, the plan had a net unfunded status of $7 million a</w:t>
      </w:r>
      <w:r>
        <w:rPr>
          <w:rFonts w:ascii="Times New Roman;sans-serif" w:hAnsi="Times New Roman;sans-serif"/>
          <w:b w:val="false"/>
          <w:color w:val="000000"/>
          <w:sz w:val="20"/>
        </w:rPr>
        <w:t>nd $6 million, respectively, classified as Other liabilities on the Condensed Consolidated Balance Sheets. Total pension expense included in Cost of revenue and Operating expenses in the Condensed Consolidated Statements of Operations was not material for the three and nine months ended March 28, 2025 and March 29, 2024. No employees of the Company participate in defined benefit pension plans sponsored by WDC or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Note 10.    Related Parties and Related Commitments and Contingencies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Flash Ventures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notes receivable from, and equity investments in, Flash Ventures for the periods presented:</w:t>
      </w:r>
    </w:p>
    <w:tbl>
      <w:tblPr>
        <w:tblW w:w="6258" w:type="dxa"/>
        <w:jc w:val="left"/>
        <w:tblInd w:w="0" w:type="dxa"/>
        <w:tblLayout w:type="fixed"/>
        <w:tblCellMar>
          <w:top w:w="28" w:type="dxa"/>
          <w:left w:w="28" w:type="dxa"/>
          <w:bottom w:w="28" w:type="dxa"/>
          <w:right w:w="28" w:type="dxa"/>
        </w:tblCellMar>
      </w:tblPr>
      <w:tblGrid>
        <w:gridCol w:w="1498"/>
        <w:gridCol w:w="1316"/>
        <w:gridCol w:w="1326"/>
        <w:gridCol w:w="239"/>
        <w:gridCol w:w="513"/>
        <w:gridCol w:w="133"/>
        <w:gridCol w:w="109"/>
        <w:gridCol w:w="109"/>
        <w:gridCol w:w="109"/>
        <w:gridCol w:w="196"/>
        <w:gridCol w:w="556"/>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Flash Partners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Flash Alliance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Flash Forward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Flash Partners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Flash Alliance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Flash Forward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receivable and investments in Flash Ventures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and nine months ended March 28, 2025, and March 29, 2024, the Company made net payments to Flash Ventures of $0.9 billion and $2.9 billion and $0.7 billion and $2.5 billion, respectively, for purchases of flash-based memory wafers and net loans.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Ventures entity. For all reporting periods presented, no loans were past due, and no loan impairments were recorded. The Company’s notes receivable from each Flash Ventures entity, denominated in Japanese yen, are secured by equipment owned by that Flash Ventures entity.</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As of March 28, 2025, and June 28, 2024, the Company had accounts payable balances due to Flash Ventures of </w:t>
      </w:r>
      <w:r>
        <w:rPr>
          <w:rFonts w:ascii="Times New Roman;sans-serif" w:hAnsi="Times New Roman;sans-serif"/>
          <w:b w:val="false"/>
          <w:color w:val="000000"/>
          <w:sz w:val="20"/>
          <w:shd w:fill="FFFFFF" w:val="clear"/>
        </w:rPr>
        <w:t>$283 million</w:t>
      </w:r>
      <w:r>
        <w:rPr>
          <w:color w:val="000000"/>
        </w:rPr>
        <w:t xml:space="preserve"> </w:t>
      </w:r>
      <w:r>
        <w:rPr>
          <w:rFonts w:ascii="Times New Roman;sans-serif" w:hAnsi="Times New Roman;sans-serif"/>
          <w:b w:val="false"/>
          <w:color w:val="000000"/>
          <w:sz w:val="20"/>
        </w:rPr>
        <w:t>and $313 million, respectively.</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maximum reasonably estimable loss exposure (excluding lost profits) as a result of its involvement with Flash Ventures, based upon the Japanese yen to U.S. dollar exchange rate at March 28, 2025, is presented below. Investments in Flash Ventures are denominated in Japanese yen, and the maximum estimable loss exposure excludes any cumulative translation adjustment due to revaluation from the Japanese yen to the U.S. dollar.</w:t>
      </w:r>
    </w:p>
    <w:tbl>
      <w:tblPr>
        <w:tblW w:w="3598" w:type="dxa"/>
        <w:jc w:val="left"/>
        <w:tblInd w:w="0" w:type="dxa"/>
        <w:tblLayout w:type="fixed"/>
        <w:tblCellMar>
          <w:top w:w="28" w:type="dxa"/>
          <w:left w:w="28" w:type="dxa"/>
          <w:bottom w:w="28" w:type="dxa"/>
          <w:right w:w="28" w:type="dxa"/>
        </w:tblCellMar>
      </w:tblPr>
      <w:tblGrid>
        <w:gridCol w:w="934"/>
        <w:gridCol w:w="821"/>
        <w:gridCol w:w="824"/>
        <w:gridCol w:w="220"/>
        <w:gridCol w:w="626"/>
        <w:gridCol w:w="173"/>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guarantees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and prepayments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estimable loss exposure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to pay for variable costs incurred in producing its share of Flash Ventures’ flash-based memory wafer supply, based on its rolling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the Flash Ventures entity’s operating cash flow is insufficient to fund these investments.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Flash Ventures has historically operated at nearly 100% of its manufacturing capacity. During the three months ended March 28, 2025 and first two quarters of 2024, as a result of flash market conditions, the Company temporarily reduced its utilization of its share of Flash Ventures’ manufacturing capacity to an abnormally low level to more closely align the Company’s flash-based wafer supply with projected demand. During the three and nine months ended March 28, 2025 the Company incurred costs of $24 million, and during the nine months ended March 29, 2024 the Company incurred costs of $249 million, associated with the reduction in utilization related to Flash Ventures, which was recorded as a charge to Cost of revenue. No such charges were incurred during the three months ended March 29,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The Company has facility agreements with Kioxia related to the construction and operation of Kioxia’s 300-millimeter wafer fabrication facility in Kitakami, Japan, referred to as “K1”, a wafer fabrication facility in Yokkaichi, Japan, referred to as “Y7”, and a wafer fabrication facility in Kitakami, Japan, referred to as “K2”. In connection with the construction of these facilities, the Company makes prepayments toward future building depreciation. In connection with the start-up of the K1, Y7 and K2 facilities, the Company has made prepayments over time, and as of March 28, 2025</w:t>
      </w:r>
      <w:r>
        <w:rPr>
          <w:rFonts w:ascii="Times New Roman;sans-serif" w:hAnsi="Times New Roman;sans-serif"/>
          <w:b w:val="false"/>
          <w:color w:val="000000"/>
          <w:sz w:val="20"/>
          <w:shd w:fill="FFFFFF" w:val="clear"/>
        </w:rPr>
        <w:t>, $938 million, with $127 million recorded within Other current assets and $811 million recorded within Other non-current assets in the Condensed Consolidated Balance Sheets, remain to be credited against future building depreciation charges. As of March 28, 2025, the Company is also committed to making additional building depreciation prepayments of $292 million, based on the Japanese yen to U.S. dollars exchange rate of ¥150.43 as of such date, payable as follows: $39 million for the remaining of fiscal year 2025, $31 million in fiscal year 2026, $116 million in fiscal year 2027, $93 million in fiscal year 2028 and $13 million in fiscal year 2029. As of March 28, 2025, in addition to the requirements to make building depreciation prepayments, the Company will also make payments for building depreciation of approximately $263 million at varying dates through fiscal year 2035.</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Inventory Purchase Commitments with Flash Ventures.</w:t>
      </w:r>
      <w:r>
        <w:rPr>
          <w:color w:val="000000"/>
        </w:rPr>
        <w:t> </w:t>
      </w:r>
      <w:r>
        <w:rPr>
          <w:rFonts w:ascii="Times New Roman;sans-serif" w:hAnsi="Times New Roman;sans-serif"/>
          <w:b w:val="false"/>
          <w:color w:val="000000"/>
          <w:sz w:val="20"/>
        </w:rPr>
        <w:t>Purchase orders placed with Flash Ventures for up to three months are binding and cannot be canceled.</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shd w:fill="FFFFFF" w:val="clear"/>
        </w:rPr>
        <w:t>Research and Development Activities.</w:t>
      </w:r>
      <w:r>
        <w:rPr>
          <w:color w:val="000000"/>
          <w:shd w:fill="FFFFFF" w:val="clear"/>
        </w:rPr>
        <w:t xml:space="preserve"> </w:t>
      </w:r>
      <w:r>
        <w:rPr>
          <w:rFonts w:ascii="Times New Roman;sans-serif" w:hAnsi="Times New Roman;sans-serif"/>
          <w:b w:val="false"/>
          <w:color w:val="000000"/>
          <w:sz w:val="20"/>
          <w:shd w:fill="FFFFFF" w:val="clear"/>
        </w:rPr>
        <w:t>The Company participates in common research and development (“R&amp;D”) activities with Kioxia and is contractually committed to a minimum funding level. R&amp;D commitments due for the remaining three months of 2025 are $40 million.</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Off-Balance Sheet Liabilities.</w:t>
      </w:r>
      <w:r>
        <w:rPr>
          <w:color w:val="000000"/>
        </w:rPr>
        <w:t xml:space="preserve"> </w:t>
      </w:r>
      <w:r>
        <w:rPr>
          <w:rFonts w:ascii="Times New Roman;sans-serif" w:hAnsi="Times New Roman;sans-serif"/>
          <w:b w:val="false"/>
          <w:color w:val="000000"/>
          <w:sz w:val="20"/>
        </w:rPr>
        <w:t>Flash Ventures sells to, and leases back from, a consortium of financial institutions a portion of its tools and has entered into equipment lease agreements of which the Company guarantees half of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portion of the remaining guarantee obligations under the Flash Ventures’ lease facilities in both Japanese yen and U.S. dollar-equivalent, based upon the Japanese yen to U.S. dollar exchange rate as of March 28, 2025:</w:t>
      </w:r>
    </w:p>
    <w:tbl>
      <w:tblPr>
        <w:tblW w:w="6220" w:type="dxa"/>
        <w:jc w:val="left"/>
        <w:tblInd w:w="0" w:type="dxa"/>
        <w:tblLayout w:type="fixed"/>
        <w:tblCellMar>
          <w:top w:w="28" w:type="dxa"/>
          <w:left w:w="28" w:type="dxa"/>
          <w:bottom w:w="28" w:type="dxa"/>
          <w:right w:w="28" w:type="dxa"/>
        </w:tblCellMar>
      </w:tblPr>
      <w:tblGrid>
        <w:gridCol w:w="733"/>
        <w:gridCol w:w="645"/>
        <w:gridCol w:w="647"/>
        <w:gridCol w:w="528"/>
        <w:gridCol w:w="1137"/>
        <w:gridCol w:w="299"/>
        <w:gridCol w:w="109"/>
        <w:gridCol w:w="109"/>
        <w:gridCol w:w="109"/>
        <w:gridCol w:w="412"/>
        <w:gridCol w:w="1169"/>
        <w:gridCol w:w="323"/>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Amounts</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(Japanese yen, in billions)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(U.S. dollar, in millions)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guarantee obligations</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breakdown of the Company’s remaining guarantee obligations between the principal amortization and the purchase option exercise price at the end of the term of the Flash Ventures lease agreements, in annual installments, in U.S. dollars, based upon the Japanese yen to U.S. dollar exchange rate as of March 28, 2025:</w:t>
      </w:r>
    </w:p>
    <w:tbl>
      <w:tblPr>
        <w:tblW w:w="10205" w:type="dxa"/>
        <w:jc w:val="left"/>
        <w:tblInd w:w="0" w:type="dxa"/>
        <w:tblLayout w:type="fixed"/>
        <w:tblCellMar>
          <w:top w:w="28" w:type="dxa"/>
          <w:left w:w="28" w:type="dxa"/>
          <w:bottom w:w="28" w:type="dxa"/>
          <w:right w:w="28" w:type="dxa"/>
        </w:tblCellMar>
      </w:tblPr>
      <w:tblGrid>
        <w:gridCol w:w="781"/>
        <w:gridCol w:w="688"/>
        <w:gridCol w:w="691"/>
        <w:gridCol w:w="654"/>
        <w:gridCol w:w="1409"/>
        <w:gridCol w:w="369"/>
        <w:gridCol w:w="109"/>
        <w:gridCol w:w="109"/>
        <w:gridCol w:w="109"/>
        <w:gridCol w:w="927"/>
        <w:gridCol w:w="1999"/>
        <w:gridCol w:w="523"/>
        <w:gridCol w:w="109"/>
        <w:gridCol w:w="109"/>
        <w:gridCol w:w="109"/>
        <w:gridCol w:w="324"/>
        <w:gridCol w:w="923"/>
        <w:gridCol w:w="263"/>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Installments</w:t>
            </w:r>
          </w:p>
        </w:tc>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of Principal Amortization</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Option Exercise Price at Final Lease Terms</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Guarantee Amount</w:t>
            </w:r>
          </w:p>
        </w:tc>
      </w:tr>
      <w:tr>
        <w:trPr/>
        <w:tc>
          <w:tcPr>
            <w:tcW w:w="2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Remaining three months of 2025</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2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2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2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2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2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guarantee obligations</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Kioxia have agreed to mutually contribute to and indemnify each other and Flash Ventures for environmental remediation costs or liabilities resulting from Flash Ventures’ manufacturing operations in certain circumstances. The Company has not made any indemnification payments nor recorded any indemnification receivables under any such agreements. As of March 28, 2025, no amounts have been accrued in the Condensed Consolidated Financial Statements with respect to these indemnification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Sale of a Majority Interest in a Subsidiary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In March 2024, SanDisk China Limited (“SanDisk China”), an indirect wholly-owned subsidiary of WDC, entered into an equity purchase agreement to sell </w:t>
      </w:r>
      <w:r>
        <w:rPr>
          <w:rFonts w:ascii="Times New Roman;sans-serif" w:hAnsi="Times New Roman;sans-serif"/>
          <w:b w:val="false"/>
          <w:color w:val="000000"/>
          <w:sz w:val="20"/>
        </w:rPr>
        <w:t>80%</w:t>
      </w:r>
      <w:r>
        <w:rPr>
          <w:color w:val="000000"/>
          <w:shd w:fill="FFFFFF" w:val="clear"/>
        </w:rPr>
        <w:t xml:space="preserve"> </w:t>
      </w:r>
      <w:r>
        <w:rPr>
          <w:rFonts w:ascii="Times New Roman;sans-serif" w:hAnsi="Times New Roman;sans-serif"/>
          <w:b w:val="false"/>
          <w:color w:val="000000"/>
          <w:sz w:val="20"/>
          <w:shd w:fill="FFFFFF" w:val="clear"/>
        </w:rPr>
        <w:t>of its equity interest in SanDisk Semiconductor (Shanghai) Co. Ltd. (“SDSS”) an indirect wholly-owned subsidiary of WDC which holds one of the Company’s manufacturing facilities, to JCET Management Co., Ltd. (“JCET”), a wholly-owned subsidiary of JCET Group Co., Ltd., a Chinese publicly listed company, thereby forming a venture between SanDisk China and JCET (the “Transaction”). The venture aims to provide independent semico</w:t>
      </w:r>
      <w:r>
        <w:rPr>
          <w:rFonts w:ascii="Times New Roman;sans-serif" w:hAnsi="Times New Roman;sans-serif"/>
          <w:b w:val="false"/>
          <w:color w:val="000000"/>
          <w:sz w:val="20"/>
        </w:rPr>
        <w:t>nductor assembly, testing, and other related services in the People’s Republic of China for customers including, but not limited to, the Company and its affiliates.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closed on September 28, 2024, and SanDisk China completed the sale of 80% of its equity interest in SDSS to JCET.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Proceeds from the sale, including working capital adjustments, were $659 million (pre-tax). On October 1, 2024, the Company received an initial pre-tax installment of $262 million. On January 6, 2025, the Company received a second pre-tax installment of $210 million and expects to receive the remaining $187 million pre-tax proceeds in five equal installments of approximately $37 million on September 28 of each year through September 28, 2029. As of March 28, 2025,</w:t>
      </w:r>
      <w:r>
        <w:rPr>
          <w:color w:val="000000"/>
          <w:shd w:fill="FFFFFF" w:val="clear"/>
        </w:rPr>
        <w:t xml:space="preserve"> </w:t>
      </w:r>
      <w:r>
        <w:rPr>
          <w:rFonts w:ascii="Times New Roman;sans-serif" w:hAnsi="Times New Roman;sans-serif"/>
          <w:b w:val="false"/>
          <w:color w:val="000000"/>
          <w:sz w:val="20"/>
          <w:shd w:fill="FFFFFF" w:val="clear"/>
        </w:rPr>
        <w:t>the outstanding consideration receivable was recognized at its present value of $166 million, with $36 million classified as Other current assets and $130 million classified as Other non-current assets in the Condensed Consolidated Balance Sheets. The remaining present value discount of $21 million as of March 28, 2025 will be recognized using the effective interest method over the next five years a</w:t>
      </w:r>
      <w:r>
        <w:rPr>
          <w:rFonts w:ascii="Times New Roman;sans-serif" w:hAnsi="Times New Roman;sans-serif"/>
          <w:b w:val="false"/>
          <w:color w:val="000000"/>
          <w:sz w:val="20"/>
        </w:rPr>
        <w:t>s Interest income in the Condensed Consolidated Statements of Operations.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 retained interest in SDSS was determined to be valued at $158 million based on the fair value of the total pre-tax consideration received and receivable from JCET for its purchase of its 80% interest in SDSS. The Company accounts for its 20% interest in SDSS as an equity method investment within Other non-current assets in the Condensed Consolidated Balance Sheets. The Company’s 20% interest in the earnings of SDSS is recognized one quarter in arrears and is reported in Other expense, net in the Condensed Consolidated Statements of Operations. As of March 28, 2025, the 20% retained interest in SDSS was valued at $160 million.</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The Transaction resulted in a pre-tax gain of $34 million, calculated as the difference between the total consideration for the sale, including the outstanding consideration receivable and the fair value of the Company’s 20% retained interest, less the carrying value of the net assets divested, which included, among other items, $71 million of cash and cash equivalents and </w:t>
      </w:r>
      <w:r>
        <w:rPr>
          <w:rFonts w:ascii="Times New Roman;sans-serif" w:hAnsi="Times New Roman;sans-serif"/>
          <w:b w:val="false"/>
          <w:color w:val="000000"/>
          <w:sz w:val="20"/>
          <w:shd w:fill="FFFFFF" w:val="clear"/>
        </w:rPr>
        <w:t>$382 million of goodwill that was allocated to SDSS.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Subsequent to and in connection with the Transaction, Western Digital Technologies, Inc. (“WDT”) entered into a five-year supply agreement with SDSS (the “Supply Agreement”) to purchase certain flash-based products with a minimum annual commitment of $550 million (the “minimum annual commitment”). On January 10, 2025, the Company and WDT entered into an assignment agreement, pursuant to which, WDT assigned all of its rights and obligations under the Supply Agreement to the Company. The Supply Agreement contains specific penalties the Company must pay if SDSS fails to meet its minimum annual commitment. The Supply Agreement also provides that if SDSS purchases exceed the minimum annual commitment in any of the two years immediately succeeding any annual period where a shortfall penalty has been paid, SDSS shall reimburse the Company an amount not exceeding the previously paid penalty amount. The Supply Agreement expires on September 28, 2029, and automatically renews for additional </w:t>
      </w:r>
      <w:r>
        <w:rPr>
          <w:rFonts w:ascii="Times New Roman;sans-serif" w:hAnsi="Times New Roman;sans-serif"/>
          <w:b w:val="false"/>
          <w:color w:val="000000"/>
          <w:sz w:val="20"/>
          <w:shd w:fill="FFFFFF" w:val="clear"/>
        </w:rPr>
        <w:t xml:space="preserve">one-year </w:t>
      </w:r>
      <w:r>
        <w:rPr>
          <w:rFonts w:ascii="Times New Roman;sans-serif" w:hAnsi="Times New Roman;sans-serif"/>
          <w:b w:val="false"/>
          <w:color w:val="000000"/>
          <w:sz w:val="20"/>
        </w:rPr>
        <w:t>terms unless earlier terminated by either of the parties. The Company also entered into an agreement to grant SDSS certain intellectual property rights on a royalty-free basis for use in manufacturing products on the Company’s behalf for the term of and under the Supply Agreement. For the three and nine months ended March 28, 2025, the</w:t>
      </w:r>
      <w:r>
        <w:rPr>
          <w:color w:val="000000"/>
          <w:shd w:fill="FFFFFF" w:val="clear"/>
        </w:rPr>
        <w:t xml:space="preserve"> </w:t>
      </w:r>
      <w:r>
        <w:rPr>
          <w:rFonts w:ascii="Times New Roman;sans-serif" w:hAnsi="Times New Roman;sans-serif"/>
          <w:b w:val="false"/>
          <w:color w:val="000000"/>
          <w:sz w:val="20"/>
          <w:shd w:fill="FFFFFF" w:val="clear"/>
        </w:rPr>
        <w:t xml:space="preserve">Company made purchases of </w:t>
      </w:r>
      <w:r>
        <w:rPr>
          <w:rFonts w:ascii="Times New Roman;sans-serif" w:hAnsi="Times New Roman;sans-serif"/>
          <w:b w:val="false"/>
          <w:color w:val="000000"/>
          <w:sz w:val="20"/>
        </w:rPr>
        <w:t>$108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$219 million</w:t>
      </w:r>
      <w:r>
        <w:rPr>
          <w:rFonts w:ascii="Times New Roman;sans-serif" w:hAnsi="Times New Roman;sans-serif"/>
          <w:b w:val="false"/>
          <w:color w:val="000000"/>
          <w:sz w:val="20"/>
          <w:shd w:fill="FFFFFF" w:val="clear"/>
        </w:rPr>
        <w:t xml:space="preserve">, respectively, under the Supply Agreement and had a </w:t>
      </w:r>
      <w:r>
        <w:rPr>
          <w:rFonts w:ascii="Times New Roman;sans-serif" w:hAnsi="Times New Roman;sans-serif"/>
          <w:b w:val="false"/>
          <w:color w:val="000000"/>
          <w:sz w:val="20"/>
        </w:rPr>
        <w:t>$112 million</w:t>
      </w:r>
      <w:r>
        <w:rPr>
          <w:color w:val="000000"/>
          <w:shd w:fill="FFFFFF" w:val="clear"/>
        </w:rPr>
        <w:t xml:space="preserve"> </w:t>
      </w:r>
      <w:r>
        <w:rPr>
          <w:rFonts w:ascii="Times New Roman;sans-serif" w:hAnsi="Times New Roman;sans-serif"/>
          <w:b w:val="false"/>
          <w:color w:val="000000"/>
          <w:sz w:val="20"/>
          <w:shd w:fill="FFFFFF" w:val="clear"/>
        </w:rPr>
        <w:t xml:space="preserve">accounts payable balance due to SDSS as of March 28, 2025.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The Company also entered into an arrangement to provide certain transition services for a limited period following the closing of the Transaction. </w:t>
      </w:r>
      <w:r>
        <w:rPr>
          <w:rFonts w:ascii="Times New Roman;sans-serif" w:hAnsi="Times New Roman;sans-serif"/>
          <w:b w:val="false"/>
          <w:color w:val="000000"/>
          <w:sz w:val="20"/>
          <w:shd w:fill="FFFFFF" w:val="clear"/>
        </w:rPr>
        <w:t xml:space="preserve">Charges under this arrangement were not material.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Unis Venture</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24, 2025, the Company and WDC entered into an equity transfer agreement (the “Equity Transfer Agreement”) to transfer WDC’s entire equity interest in its venture with Unisplendour Corporation Limited and Unissoft (Wuxi) Group Co. Ltd. (“Unis”), referred to as the “Unis Venture”, to the Company. The Unis Venture is 49% owned by the Company and 51% owned by Unis. The Unis Venture markets and sells the Company’s products in China and develops data storage systems for the Chinese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Prior to the execution of the Equity Transfer Agreement, the Unis Venture was not historically managed as a component of the Company and as such, the related equity method investment was not reflected within our Condensed Consolidated Financial Statements. After the execution of the Equity Transfer Agreement, the Company accounts for its investment in the Unis Venture under the equity method of accounting. </w:t>
      </w:r>
      <w:r>
        <w:rPr>
          <w:rFonts w:ascii="Times New Roman;sans-serif" w:hAnsi="Times New Roman;sans-serif"/>
          <w:b w:val="false"/>
          <w:color w:val="000000"/>
          <w:sz w:val="20"/>
        </w:rPr>
        <w:t xml:space="preserve">The Company’s </w:t>
      </w:r>
      <w:r>
        <w:rPr>
          <w:rFonts w:ascii="Times New Roman;sans-serif" w:hAnsi="Times New Roman;sans-serif"/>
          <w:b w:val="false"/>
          <w:color w:val="000000"/>
          <w:sz w:val="20"/>
          <w:shd w:fill="FFFFFF" w:val="clear"/>
        </w:rPr>
        <w:t>49%</w:t>
      </w:r>
      <w:r>
        <w:rPr>
          <w:color w:val="000000"/>
        </w:rPr>
        <w:t xml:space="preserve"> </w:t>
      </w:r>
      <w:r>
        <w:rPr>
          <w:rFonts w:ascii="Times New Roman;sans-serif" w:hAnsi="Times New Roman;sans-serif"/>
          <w:b w:val="false"/>
          <w:color w:val="000000"/>
          <w:sz w:val="20"/>
        </w:rPr>
        <w:t>interest in the earnings of the Unis Venture will be recognized one quarter in arrears from the date the Unis Venture was transferred to the Company and will be reported in Other expense, net in the Condensed Consolidated Statements of Operations.</w:t>
      </w:r>
      <w:r>
        <w:rPr>
          <w:color w:val="000000"/>
          <w:shd w:fill="FFFFFF" w:val="clear"/>
        </w:rPr>
        <w:t xml:space="preserve">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Revenue from products distributed by the Unis Venture is recognized upon sell-through to third-party customers. For the three and nine months ended March 28, 2025, and March 29, 2024, the Company recognized approximately 1% and </w:t>
      </w: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 respectively, of its condensed consolidated revenue on products distributed by the Unis Venture. The outstanding accounts receivable due from the Unis Venture were 2% and 4% of Accounts receivable, net, as of March 28, 2025 and June 28, 2024, respectively.</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Separation and Distribution Agreement and Other Related Party Transactions with WDC</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As described in Note 1, </w:t>
      </w:r>
      <w:r>
        <w:rPr>
          <w:rFonts w:ascii="Times New Roman;sans-serif" w:hAnsi="Times New Roman;sans-serif"/>
          <w:b w:val="false"/>
          <w:i/>
          <w:color w:val="000000"/>
          <w:sz w:val="20"/>
        </w:rPr>
        <w:t xml:space="preserve">Organization and Basis of Presentation </w:t>
      </w:r>
      <w:r>
        <w:rPr>
          <w:rFonts w:ascii="Times New Roman;sans-serif" w:hAnsi="Times New Roman;sans-serif"/>
          <w:b w:val="false"/>
          <w:color w:val="000000"/>
          <w:sz w:val="20"/>
        </w:rPr>
        <w:t>of the Notes to Condensed Consolidated Financial Statements included in this Quarterly Report on Form 10-Q, on February 21, 2025, in connection with the separation, the Company entered into several agreements that provide a framework for Sandisk’s relationship with WDC after the separation. These include, but are not limited to, the following, which were active and in effect during the third quarter of fiscal year 2025:</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Separation and Distribution Agreement</w:t>
      </w:r>
      <w:r>
        <w:rPr>
          <w:color w:val="000000"/>
        </w:rPr>
        <w:t xml:space="preserve"> </w:t>
      </w:r>
      <w:r>
        <w:rPr>
          <w:rFonts w:ascii="Times New Roman;sans-serif" w:hAnsi="Times New Roman;sans-serif"/>
          <w:b w:val="false"/>
          <w:color w:val="000000"/>
          <w:sz w:val="20"/>
        </w:rPr>
        <w:t xml:space="preserve">- The separation and distribution agreement contains key provisions related to the separation of the Company from WDC, including the transfer of assets and assumptions of liabilities. In connection with this agreement, certain assets and liabilities included in the Company’s Condensed Combined Balance Sheets as of December 27, 2024 were retained by WDC and certain assets and liabilities not included in the Company’s Condensed Combined Balance Sheets as of December 27, 2024 were transferred to the Company as of the date of the separation. </w:t>
      </w:r>
    </w:p>
    <w:p>
      <w:pPr>
        <w:pStyle w:val="TextBody"/>
        <w:bidi w:val="0"/>
        <w:spacing w:lineRule="auto" w:line="288" w:before="0" w:after="120"/>
        <w:jc w:val="left"/>
        <w:rPr/>
      </w:pPr>
      <w:r>
        <w:rPr>
          <w:rFonts w:ascii="Times New Roman;sans-serif" w:hAnsi="Times New Roman;sans-serif"/>
          <w:b w:val="false"/>
          <w:color w:val="000000"/>
          <w:sz w:val="20"/>
          <w:shd w:fill="FFFFFF" w:val="clear"/>
        </w:rPr>
        <w:t xml:space="preserve">Separation-related adjustments resulted in a decrease to net assets and total equity of </w:t>
      </w:r>
      <w:r>
        <w:rPr>
          <w:rFonts w:ascii="Times New Roman;sans-serif" w:hAnsi="Times New Roman;sans-serif"/>
          <w:b w:val="false"/>
          <w:color w:val="000000"/>
          <w:sz w:val="20"/>
        </w:rPr>
        <w:t>$1.1 billion</w:t>
      </w:r>
      <w:r>
        <w:rPr>
          <w:color w:val="000000"/>
          <w:shd w:fill="FFFFFF" w:val="clear"/>
        </w:rPr>
        <w:t xml:space="preserve"> </w:t>
      </w:r>
      <w:r>
        <w:rPr>
          <w:rFonts w:ascii="Times New Roman;sans-serif" w:hAnsi="Times New Roman;sans-serif"/>
          <w:b w:val="false"/>
          <w:color w:val="000000"/>
          <w:sz w:val="20"/>
          <w:shd w:fill="FFFFFF" w:val="clear"/>
        </w:rPr>
        <w:t xml:space="preserve">and are reflected in the “Net transfers from (to) WDC, including spin-off related adjustments” line item of the Condensed Consolidated Statements of Shareholders’ Equity.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Transition Services Agreement – </w:t>
      </w:r>
      <w:r>
        <w:rPr>
          <w:rFonts w:ascii="Times New Roman;sans-serif" w:hAnsi="Times New Roman;sans-serif"/>
          <w:b w:val="false"/>
          <w:color w:val="000000"/>
          <w:sz w:val="20"/>
        </w:rPr>
        <w:t xml:space="preserve">The Transition Services Agreement (“TSA”) governs the provision of transition services from WDC to Sandisk, and from Sandisk to WDC and its affiliates, on an interim, transitional basis following the separation.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28, 2025, the Company recognized $2 million in expenses related to the TSA, and the Company expects to recognize an additional expense related to the TSA of approximately $10 million during the next twelve months.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Tax Matters Agreement - </w:t>
      </w:r>
      <w:r>
        <w:rPr>
          <w:rFonts w:ascii="Times New Roman;sans-serif" w:hAnsi="Times New Roman;sans-serif"/>
          <w:b w:val="false"/>
          <w:color w:val="000000"/>
          <w:sz w:val="20"/>
        </w:rPr>
        <w:t xml:space="preserve">The Tax Matters Agreement governs, among other things, WDC’s and the Company’s respective rights, responsibilities and obligations after the spin-off with respect to tax liabilities and benefits, tax attributes, the preparation and filing of tax returns, the control of audits and other tax proceedings and other matters regarding taxes. In addition, the Tax Matters Agreement imposes certain restrictions on the Company and its subsidiaries (including restrictions on share issuances, business combinations, sales of assets, and similar transactions) that are designed to preserve the tax-free status of the spin-off and certain related transactions.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this agreement, the Company recorded a tax indemnification liability of $112 million on February 21, 2025. This liability was subsequently reduced by approximately $2 million reflecting the outstanding balance as of March 28, 2025. The remaining tax indemnification liability of $110 million is classified as Other liabilities in the Condensed Consolidated Balance Sheets as of March 28, 2025. </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Notes Due to (from) Western Digital Corporation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the Company received financing from certain of WDC’s subsidiaries in the form of borrowings under revolving credit agreements and promissory notes to fund activities primarily related to Flash Ventures. Additionally, cash generated by the Company was lent from time to time via promissory notes to certain of WDC’s subsidiaries for use in general corporate purposes. Outstanding balances due under these financing arrangements were due on demand.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the Company had outstanding borrowings due to WDC’s subsidiaries of $553 million, inclusive of interest payable. As part of the separation, WDC contributed $550 million to the Company, and the Company repaid $6 million in cash, which included interest accrued until the date of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Interest expense and Interest income on notes due to (from) Western Digital Corporation, which were recorded within Interest expense and Interest income in the Condensed Consolidated Statements of Operations for the periods presented:</w:t>
      </w:r>
    </w:p>
    <w:tbl>
      <w:tblPr>
        <w:tblW w:w="9353" w:type="dxa"/>
        <w:jc w:val="left"/>
        <w:tblInd w:w="0" w:type="dxa"/>
        <w:tblLayout w:type="fixed"/>
        <w:tblCellMar>
          <w:top w:w="28" w:type="dxa"/>
          <w:left w:w="28" w:type="dxa"/>
          <w:bottom w:w="28" w:type="dxa"/>
          <w:right w:w="28" w:type="dxa"/>
        </w:tblCellMar>
      </w:tblPr>
      <w:tblGrid>
        <w:gridCol w:w="1720"/>
        <w:gridCol w:w="1515"/>
        <w:gridCol w:w="1519"/>
        <w:gridCol w:w="244"/>
        <w:gridCol w:w="506"/>
        <w:gridCol w:w="135"/>
        <w:gridCol w:w="115"/>
        <w:gridCol w:w="115"/>
        <w:gridCol w:w="115"/>
        <w:gridCol w:w="279"/>
        <w:gridCol w:w="451"/>
        <w:gridCol w:w="155"/>
        <w:gridCol w:w="109"/>
        <w:gridCol w:w="109"/>
        <w:gridCol w:w="109"/>
        <w:gridCol w:w="279"/>
        <w:gridCol w:w="451"/>
        <w:gridCol w:w="155"/>
        <w:gridCol w:w="114"/>
        <w:gridCol w:w="114"/>
        <w:gridCol w:w="114"/>
        <w:gridCol w:w="267"/>
        <w:gridCol w:w="453"/>
        <w:gridCol w:w="210"/>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 xml:space="preserve">(in millions) </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notes due to Western Digital Corporation</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on notes due from Western Digital Corporation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Allocation of Corporate Expenses</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the separation, WDC provided various corporate services to the Company in the ordinary course of business, including executive management, finance, tax, legal, information technology, employee benefits administration, treasury, risk management, procurement and other shared services. These corporate expenses were allocated to the Company based on direct usage or benefit, where identifiable, with the remainder allocated based on headcount, revenue or other relevant measures. Management believes the basis on which the expenses were allocated to be a reasonable reflection of the utilization of services provided to us or the benefit received by us.</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Effective at the beginning of the second quarter of fiscal year 2025, the Company was operationally separated from the operations that were ultimately retained by WDC following completion of the spin-off transaction. In connection with this operational separation, personnel serving the Company in shared service functions were transferred into legal entities dedicated to the Company, and substantially all assets, liabilities, and contracts pertaining to operations of the Company were transferred to legal entities dedicated to the Company as well. Accordingly, there was a substantial reduction in the pool of shared corporate overhead costs of WDC that were subject to allocation in the second and third quarters of fiscal year 2025.</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The table below summarizes </w:t>
      </w:r>
      <w:r>
        <w:rPr>
          <w:rFonts w:ascii="Times New Roman;sans-serif" w:hAnsi="Times New Roman;sans-serif"/>
          <w:b w:val="false"/>
          <w:color w:val="000000"/>
          <w:sz w:val="20"/>
        </w:rPr>
        <w:t>the impact of expense allocations from WDC within the Condensed Consolidated Statements of Operations for the periods presented:</w:t>
      </w:r>
    </w:p>
    <w:tbl>
      <w:tblPr>
        <w:tblW w:w="7518" w:type="dxa"/>
        <w:jc w:val="center"/>
        <w:tblInd w:w="0" w:type="dxa"/>
        <w:tblLayout w:type="fixed"/>
        <w:tblCellMar>
          <w:top w:w="28" w:type="dxa"/>
          <w:left w:w="28" w:type="dxa"/>
          <w:bottom w:w="28" w:type="dxa"/>
          <w:right w:w="28" w:type="dxa"/>
        </w:tblCellMar>
      </w:tblPr>
      <w:tblGrid>
        <w:gridCol w:w="1070"/>
        <w:gridCol w:w="941"/>
        <w:gridCol w:w="943"/>
        <w:gridCol w:w="244"/>
        <w:gridCol w:w="505"/>
        <w:gridCol w:w="135"/>
        <w:gridCol w:w="109"/>
        <w:gridCol w:w="109"/>
        <w:gridCol w:w="109"/>
        <w:gridCol w:w="239"/>
        <w:gridCol w:w="513"/>
        <w:gridCol w:w="133"/>
        <w:gridCol w:w="109"/>
        <w:gridCol w:w="109"/>
        <w:gridCol w:w="109"/>
        <w:gridCol w:w="239"/>
        <w:gridCol w:w="513"/>
        <w:gridCol w:w="133"/>
        <w:gridCol w:w="109"/>
        <w:gridCol w:w="109"/>
        <w:gridCol w:w="109"/>
        <w:gridCol w:w="236"/>
        <w:gridCol w:w="508"/>
        <w:gridCol w:w="185"/>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separation costs</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 and other charges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allocation of Corporate Expenses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historical financial statements do not purport to reflect what results of operations, financial position, equity or cash flows would have been if we had operated as a standalone company during the periods presented.</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Management</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WDC provided funding for our operating and investing activities, including pooled cash managed by WDC’s treasury, to fund operating expenses and capital expenditures. WDC also directly collected certain of our receivables. These activities were reflected as a component of the Net investment from Western Digital Corporation, and this arrangement is not reflective of the manner in which we would operate on a standalone company separate from WDC during the periods presented.</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Western Digital Corporation Net Investment</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the Net investment from Western Digital Corporation on the Condensed Consolidated Balance Sheets represented WDC’s historical investment in the Company, the net effect of transactions with and allocations from WDC, the Company’s retained earnings and the allocation to the Company of cumulative effect adjustments from the adoption of new accounting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Net Transfers from (to) Western Digital Corporation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transfers from (to) Western Digital Corporation on the Condensed Consolidated Statements of Shareholders’ Equity to the corresponding amounts on the Condensed Consolidated Statements of Cash Flows is as follows:</w:t>
      </w:r>
    </w:p>
    <w:tbl>
      <w:tblPr>
        <w:tblW w:w="10205" w:type="dxa"/>
        <w:jc w:val="left"/>
        <w:tblInd w:w="0" w:type="dxa"/>
        <w:tblLayout w:type="fixed"/>
        <w:tblCellMar>
          <w:top w:w="28" w:type="dxa"/>
          <w:left w:w="28" w:type="dxa"/>
          <w:bottom w:w="28" w:type="dxa"/>
          <w:right w:w="28" w:type="dxa"/>
        </w:tblCellMar>
      </w:tblPr>
      <w:tblGrid>
        <w:gridCol w:w="2901"/>
        <w:gridCol w:w="2554"/>
        <w:gridCol w:w="2560"/>
        <w:gridCol w:w="196"/>
        <w:gridCol w:w="630"/>
        <w:gridCol w:w="109"/>
        <w:gridCol w:w="109"/>
        <w:gridCol w:w="109"/>
        <w:gridCol w:w="109"/>
        <w:gridCol w:w="235"/>
        <w:gridCol w:w="506"/>
        <w:gridCol w:w="187"/>
      </w:tblGrid>
      <w:tr>
        <w:trPr/>
        <w:tc>
          <w:tcPr>
            <w:tcW w:w="2901"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8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8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8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8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from Western Digital Corporation per Condensed Consolidated Statements of Shareholders’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due (to) from Western Digital Corporation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 transferred from Western Digital Corporation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Unis venture transferred from Western Digital Corporation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transferred from Western Digital Corporation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balances transferred from Western Digital Corporation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transferred to Western Digital Corporation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indemnification liability transferred to Western Digital Corporation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from Western Digital Corporation per Condensed Consolidated Statements of Cash Flows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Note 11.    Leases and Other Commitments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The Company leases certain domestic and international facilities and data center space under long-term, non-cancelable operating leases that expire at various dates through fiscal year 2039. In connection with and subsequent to the separation, the Company entered into various sublease agreements with WDC under</w:t>
      </w:r>
      <w:r>
        <w:rPr>
          <w:color w:val="000000"/>
          <w:shd w:fill="FFFFFF" w:val="clear"/>
        </w:rPr>
        <w:t xml:space="preserve"> </w:t>
      </w:r>
      <w:r>
        <w:rPr>
          <w:rFonts w:ascii="Times New Roman;sans-serif" w:hAnsi="Times New Roman;sans-serif"/>
          <w:b w:val="false"/>
          <w:color w:val="000000"/>
          <w:sz w:val="20"/>
          <w:shd w:fill="FFFFFF" w:val="clear"/>
        </w:rPr>
        <w:t>long-term, non-cancelable operating leases</w:t>
      </w:r>
      <w:r>
        <w:rPr>
          <w:color w:val="000000"/>
        </w:rPr>
        <w:t xml:space="preserve"> </w:t>
      </w:r>
      <w:r>
        <w:rPr>
          <w:rFonts w:ascii="Times New Roman;sans-serif" w:hAnsi="Times New Roman;sans-serif"/>
          <w:b w:val="false"/>
          <w:color w:val="000000"/>
          <w:sz w:val="20"/>
        </w:rPr>
        <w:t xml:space="preserve">that expire at various dates through fiscal year 2031.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These leases include no material variable or contingent lease payments. Operating lease assets and liabilities are recognized based on the present value of the remaining lease payments discounted </w:t>
      </w:r>
      <w:r>
        <w:rPr>
          <w:rFonts w:ascii="Times New Roman;sans-serif" w:hAnsi="Times New Roman;sans-serif"/>
          <w:b w:val="false"/>
          <w:color w:val="000000"/>
          <w:sz w:val="20"/>
          <w:shd w:fill="FFFFFF" w:val="clear"/>
        </w:rPr>
        <w:t>using the Company’s incremental borrowing rate. O</w:t>
      </w:r>
      <w:r>
        <w:rPr>
          <w:rFonts w:ascii="Times New Roman;sans-serif" w:hAnsi="Times New Roman;sans-serif"/>
          <w:b w:val="false"/>
          <w:color w:val="000000"/>
          <w:sz w:val="20"/>
        </w:rPr>
        <w:t>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right-of-use lease assets and lease liabilities included in the Company’s Condensed Consolidated Balance Sheets: </w:t>
      </w:r>
    </w:p>
    <w:tbl>
      <w:tblPr>
        <w:tblW w:w="8141" w:type="dxa"/>
        <w:jc w:val="left"/>
        <w:tblInd w:w="0" w:type="dxa"/>
        <w:tblLayout w:type="fixed"/>
        <w:tblCellMar>
          <w:top w:w="28" w:type="dxa"/>
          <w:left w:w="28" w:type="dxa"/>
          <w:bottom w:w="28" w:type="dxa"/>
          <w:right w:w="28" w:type="dxa"/>
        </w:tblCellMar>
      </w:tblPr>
      <w:tblGrid>
        <w:gridCol w:w="2221"/>
        <w:gridCol w:w="1954"/>
        <w:gridCol w:w="1960"/>
        <w:gridCol w:w="239"/>
        <w:gridCol w:w="513"/>
        <w:gridCol w:w="133"/>
        <w:gridCol w:w="109"/>
        <w:gridCol w:w="109"/>
        <w:gridCol w:w="109"/>
        <w:gridCol w:w="202"/>
        <w:gridCol w:w="434"/>
        <w:gridCol w:w="158"/>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(included in other non-current assets)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operating lease liabilities (included in accrued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operating lease liabilities (included in other liabilities)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supplemental disclosures of operating cost and cash flow information related to operating leases:</w:t>
      </w:r>
    </w:p>
    <w:tbl>
      <w:tblPr>
        <w:tblW w:w="9861" w:type="dxa"/>
        <w:jc w:val="left"/>
        <w:tblInd w:w="0" w:type="dxa"/>
        <w:tblLayout w:type="fixed"/>
        <w:tblCellMar>
          <w:top w:w="28" w:type="dxa"/>
          <w:left w:w="28" w:type="dxa"/>
          <w:bottom w:w="28" w:type="dxa"/>
          <w:right w:w="28" w:type="dxa"/>
        </w:tblCellMar>
      </w:tblPr>
      <w:tblGrid>
        <w:gridCol w:w="1898"/>
        <w:gridCol w:w="1661"/>
        <w:gridCol w:w="1675"/>
        <w:gridCol w:w="273"/>
        <w:gridCol w:w="461"/>
        <w:gridCol w:w="151"/>
        <w:gridCol w:w="126"/>
        <w:gridCol w:w="126"/>
        <w:gridCol w:w="126"/>
        <w:gridCol w:w="318"/>
        <w:gridCol w:w="391"/>
        <w:gridCol w:w="176"/>
        <w:gridCol w:w="109"/>
        <w:gridCol w:w="109"/>
        <w:gridCol w:w="109"/>
        <w:gridCol w:w="272"/>
        <w:gridCol w:w="461"/>
        <w:gridCol w:w="151"/>
        <w:gridCol w:w="113"/>
        <w:gridCol w:w="113"/>
        <w:gridCol w:w="113"/>
        <w:gridCol w:w="267"/>
        <w:gridCol w:w="452"/>
        <w:gridCol w:w="210"/>
      </w:tblGrid>
      <w:tr>
        <w:trPr/>
        <w:tc>
          <w:tcPr>
            <w:tcW w:w="189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78"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39"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operating leases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leases</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 obtained in exchange for operating lease liabilities</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and discount rate for the Company’s operating leases were as follows:</w:t>
      </w:r>
    </w:p>
    <w:tbl>
      <w:tblPr>
        <w:tblW w:w="5737" w:type="dxa"/>
        <w:jc w:val="left"/>
        <w:tblInd w:w="0" w:type="dxa"/>
        <w:tblLayout w:type="fixed"/>
        <w:tblCellMar>
          <w:top w:w="28" w:type="dxa"/>
          <w:left w:w="28" w:type="dxa"/>
          <w:bottom w:w="28" w:type="dxa"/>
          <w:right w:w="28" w:type="dxa"/>
        </w:tblCellMar>
      </w:tblPr>
      <w:tblGrid>
        <w:gridCol w:w="1260"/>
        <w:gridCol w:w="1108"/>
        <w:gridCol w:w="1112"/>
        <w:gridCol w:w="202"/>
        <w:gridCol w:w="202"/>
        <w:gridCol w:w="480"/>
        <w:gridCol w:w="109"/>
        <w:gridCol w:w="109"/>
        <w:gridCol w:w="109"/>
        <w:gridCol w:w="188"/>
        <w:gridCol w:w="188"/>
        <w:gridCol w:w="407"/>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in years</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28, 2025, minimum lease payments were as follows:</w:t>
      </w:r>
    </w:p>
    <w:tbl>
      <w:tblPr>
        <w:tblW w:w="4318" w:type="dxa"/>
        <w:jc w:val="left"/>
        <w:tblInd w:w="0" w:type="dxa"/>
        <w:tblLayout w:type="fixed"/>
        <w:tblCellMar>
          <w:top w:w="28" w:type="dxa"/>
          <w:left w:w="28" w:type="dxa"/>
          <w:bottom w:w="28" w:type="dxa"/>
          <w:right w:w="28" w:type="dxa"/>
        </w:tblCellMar>
      </w:tblPr>
      <w:tblGrid>
        <w:gridCol w:w="1075"/>
        <w:gridCol w:w="945"/>
        <w:gridCol w:w="949"/>
        <w:gridCol w:w="342"/>
        <w:gridCol w:w="736"/>
        <w:gridCol w:w="271"/>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Amounts</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lease payments by fiscal year:</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Remaining three months of 2025</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minimum lease payments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Sale-Leaseback</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In September 2023, WDC completed a sale and leaseback of its facility in Milpitas, California and received net proceeds of $191 million in cash. A substantial majority of these assets are associated with the Company, and as a result, $134 million of the net proceeds from the sale-leaseback transaction were allocated to us on a relative square footage basis and reflected as a cash inflow from investing activities within the Condensed Consolidated Statements of Cash Flows for the nine months ended March 29, 2024. In connection with the sale and leaseback, the Company recorded a gain of $60 million upon the closing of the transaction. For more information, see Part 1, Item 1, Note 15, </w:t>
      </w:r>
      <w:r>
        <w:rPr>
          <w:rFonts w:ascii="Times New Roman;sans-serif" w:hAnsi="Times New Roman;sans-serif"/>
          <w:b w:val="false"/>
          <w:i/>
          <w:color w:val="000000"/>
          <w:sz w:val="20"/>
        </w:rPr>
        <w:t xml:space="preserve">Employee Termination and Other Charges </w:t>
      </w:r>
      <w:r>
        <w:rPr>
          <w:rFonts w:ascii="Times New Roman;sans-serif" w:hAnsi="Times New Roman;sans-serif"/>
          <w:b w:val="false"/>
          <w:color w:val="000000"/>
          <w:sz w:val="20"/>
        </w:rPr>
        <w:t>of the Notes to Condensed Consolidated Financial Statements included in this Quarterly Report on Form 10-Q.</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property is being leased back to the Company at a total annual rate of $16 million for the first year and increasing by 3% per year thereafter through January 1, 2039. The lease includes three five-year renewal options and one four-year renewal option for the ability to extend through December 2057. The associated operating lease liability and right-of-use asset for this facility has been included in the Condensed Consolidated Balance Sheets as of March 28, 2025 and June 28, 2024. This facility is utilized in the Company’s operations, and before the separation, the total lease expense has been allocated to the Company based on the continued usage of the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Purchase Agreements and Other Commitments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purchase orders with suppliers for the purchase of components used to manufacture its products. These purchase orders generally cover forecasted component supplies needed for production during the coming months, are recorded as a liability upon receipt of the components, and generally may be changed or canceled at any time prior to shipment of the components. The Company also enters into long-term agreements with suppliers that contain fixed future commitments, which are contingent upon certain conditions such as performance, quality and technology of the vendor’s components. As of March 28, 2025, the Company had the following minimum long-term commitments:</w:t>
      </w:r>
    </w:p>
    <w:tbl>
      <w:tblPr>
        <w:tblW w:w="4498" w:type="dxa"/>
        <w:jc w:val="left"/>
        <w:tblInd w:w="0" w:type="dxa"/>
        <w:tblLayout w:type="fixed"/>
        <w:tblCellMar>
          <w:top w:w="28" w:type="dxa"/>
          <w:left w:w="28" w:type="dxa"/>
          <w:bottom w:w="28" w:type="dxa"/>
          <w:right w:w="28" w:type="dxa"/>
        </w:tblCellMar>
      </w:tblPr>
      <w:tblGrid>
        <w:gridCol w:w="887"/>
        <w:gridCol w:w="776"/>
        <w:gridCol w:w="781"/>
        <w:gridCol w:w="443"/>
        <w:gridCol w:w="1260"/>
        <w:gridCol w:w="351"/>
      </w:tblGrid>
      <w:tr>
        <w:trPr/>
        <w:tc>
          <w:tcPr>
            <w:tcW w:w="88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commitments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Remaining three months of 2025</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4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12.     Shareholders’ Equity</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Prio</w:t>
      </w:r>
      <w:r>
        <w:rPr>
          <w:rFonts w:ascii="Times New Roman;sans-serif" w:hAnsi="Times New Roman;sans-serif"/>
          <w:b w:val="false"/>
          <w:color w:val="000000"/>
          <w:sz w:val="20"/>
        </w:rPr>
        <w:t>r to the separation, certain employees participated in WDC’s stock incentive plans (the “WDC Plans”), whereby all awards granted under the plans consisted of WDC common stock. The Stock-based compensation expense recognized in the Company’s Condensed Consolidated Financial Statements was determined based upon employees who participated in the WDC Plans and exclusively supported the Company’s operations, as well as an allocation of WDC’s corporate and shared employee stock-based compensation expenses.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In connection with the separation, all outstanding RSU and PSU awards held by former employees of WDC and its affiliates, who became Sandisk employees after the separation, were adjusted pursuant to conversion ratios determined in accordance with the terms of the Employee Matters Agreement. Outstanding RSU and PSU awards held by employees in the positions of Vice President and above as of the separation date were converted into RSU or PSU awards of Sandisk shares and RSU awards of WDC shares on a ratio of one-third (1/3) of one share of the Company’s common stock for each WDC award held by each such employee. For all other employees, the value of the converted RSU awards was designed to preserve the aggregate intrinsic value of the award immediately after the separation when compared to the aggregate intrinsic value of those award immediately prior to separation. Pursuant to the Employee Matters Agreement, the converted awards shall generally continue to be subject to the same terms and conditions as were applicable to the original WDC awards, including with respect to vesting, except as described in the Employee Matters Agreement. </w:t>
      </w:r>
      <w:r>
        <w:rPr>
          <w:rFonts w:ascii="Times New Roman;sans-serif" w:hAnsi="Times New Roman;sans-serif"/>
          <w:b w:val="false"/>
          <w:color w:val="000000"/>
          <w:sz w:val="20"/>
        </w:rPr>
        <w:t>As a result of the conversion, the Company will incur approximately $41 million of incremental stock-based compensation expense over the remaining service period for the awards. Of this amount, $5 million were recognized during the quarter ended March 28, 2025, and approximately $36 million will be recognized over the awar</w:t>
      </w:r>
      <w:r>
        <w:rPr>
          <w:rFonts w:ascii="Times New Roman;sans-serif" w:hAnsi="Times New Roman;sans-serif"/>
          <w:b w:val="false"/>
          <w:color w:val="000000"/>
          <w:sz w:val="20"/>
          <w:shd w:fill="FFFFFF" w:val="clear"/>
        </w:rPr>
        <w:t xml:space="preserve">ds’ remaining service periods. </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Additionally, the Company adopted the following incentive plans for Sandisk employees: (i) Sandisk Corporation 2025 Long-Term Incentive Plan (the “2025 Long-Term Incentive Plan”), and (ii) Sandisk Corporation 2025 Employee Stock Purchase Plan. Grants of equity awards made after the separation to our executive officers and other employees will be made under the 2025 Long-Term Incentive Plan, which became effective on January 25, 2025.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separation, certain employees of the Company participate in stock incentive plans which allow for stock-based compensation in a number of forms, including RSU awards, PSU awards, and an employee stock purchase plan (“ESPP”).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Restricted and Performance Stock Unit Awards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an RSU award equals the closing share price on the grant date of the award. The fair value of a PSU award containing a market condition is estimated using a Monte Carlo simulation on the grant date. The expense associated with these awards is recognized over their requisite service period, usually four years for RSUs and three years for PSUs.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and PSU award activity under the Company’s incentive plans during the nine months ended March 28, 2025:</w:t>
      </w:r>
    </w:p>
    <w:tbl>
      <w:tblPr>
        <w:tblW w:w="10205" w:type="dxa"/>
        <w:jc w:val="left"/>
        <w:tblInd w:w="0" w:type="dxa"/>
        <w:tblLayout w:type="fixed"/>
        <w:tblCellMar>
          <w:top w:w="28" w:type="dxa"/>
          <w:left w:w="28" w:type="dxa"/>
          <w:bottom w:w="28" w:type="dxa"/>
          <w:right w:w="28" w:type="dxa"/>
        </w:tblCellMar>
      </w:tblPr>
      <w:tblGrid>
        <w:gridCol w:w="1222"/>
        <w:gridCol w:w="1067"/>
        <w:gridCol w:w="1074"/>
        <w:gridCol w:w="422"/>
        <w:gridCol w:w="422"/>
        <w:gridCol w:w="423"/>
        <w:gridCol w:w="109"/>
        <w:gridCol w:w="109"/>
        <w:gridCol w:w="109"/>
        <w:gridCol w:w="570"/>
        <w:gridCol w:w="1616"/>
        <w:gridCol w:w="316"/>
        <w:gridCol w:w="109"/>
        <w:gridCol w:w="109"/>
        <w:gridCol w:w="109"/>
        <w:gridCol w:w="520"/>
        <w:gridCol w:w="1481"/>
        <w:gridCol w:w="418"/>
      </w:tblGrid>
      <w:tr>
        <w:trPr/>
        <w:tc>
          <w:tcPr>
            <w:tcW w:w="122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at Vest Date</w:t>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and PSUs outstanding at June 28, 2024</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Awards converted from Western Digital Corporation Plans </w:t>
            </w:r>
            <w:r>
              <w:rPr>
                <w:rFonts w:ascii="Times New Roman;sans-serif" w:hAnsi="Times New Roman;sans-serif"/>
                <w:b w:val="false"/>
                <w:color w:val="000000"/>
                <w:sz w:val="12"/>
              </w:rPr>
              <w:t>(1)</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Issued</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and PSUs outstanding at March 28, 2025</w:t>
            </w:r>
          </w:p>
        </w:tc>
        <w:tc>
          <w:tcPr>
            <w:tcW w:w="8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This amount excludes 3.1 million of WDC equity awards held by Sandisk employees, which upon vesting will be issued in WDC shares instead of the Company’s shares.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and PSUs are generally settled in an equal number of shares of the Company’s common stock upon vesting. Forfeitures are recognized as they occur.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cost related to unvested RSUs, PSUs, and rights to purchase shares of common stock under the ESPP are amortized on a straight-line basis over the remaining service period. The following table presents the unamortized compensation cost and weighted average service period of all unvested outstanding awards as of March 28, 2025:</w:t>
      </w:r>
    </w:p>
    <w:tbl>
      <w:tblPr>
        <w:tblW w:w="8442" w:type="dxa"/>
        <w:jc w:val="left"/>
        <w:tblInd w:w="0" w:type="dxa"/>
        <w:tblLayout w:type="fixed"/>
        <w:tblCellMar>
          <w:top w:w="28" w:type="dxa"/>
          <w:left w:w="28" w:type="dxa"/>
          <w:bottom w:w="28" w:type="dxa"/>
          <w:right w:w="28" w:type="dxa"/>
        </w:tblCellMar>
      </w:tblPr>
      <w:tblGrid>
        <w:gridCol w:w="993"/>
        <w:gridCol w:w="874"/>
        <w:gridCol w:w="878"/>
        <w:gridCol w:w="744"/>
        <w:gridCol w:w="1599"/>
        <w:gridCol w:w="417"/>
        <w:gridCol w:w="109"/>
        <w:gridCol w:w="109"/>
        <w:gridCol w:w="109"/>
        <w:gridCol w:w="763"/>
        <w:gridCol w:w="763"/>
        <w:gridCol w:w="108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Unamortized Compensation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service period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(years)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and PSUs</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unamortized compensation cost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r>
    </w:tbl>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ESPP under which our stockholders have approved an aggregate of approximately 4.3 million shares of common stock for issuance to eligible employees. The fair value of the award at the grant date is based on the Black-Scholes valuation model. The plan permits eligible employees to purchase common stock, through payroll deductions, at 95% of the fair market value of a share of common stock on the first day of the 24-month offering period in which the employees are participating or 95% of the fair market value of a share of common stock on the applicable exercise date, whichever is lower. Rights to purchase shares are granted during the second and fourth quarters of each fiscal year.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the Company’s stock-based compensation for equity-settled awards by type, financial statement line, and the related tax benefit included in the Company’s Condensed Consolidated Statements of Operations:</w:t>
      </w:r>
    </w:p>
    <w:tbl>
      <w:tblPr>
        <w:tblW w:w="5914" w:type="dxa"/>
        <w:jc w:val="left"/>
        <w:tblInd w:w="0" w:type="dxa"/>
        <w:tblLayout w:type="fixed"/>
        <w:tblCellMar>
          <w:top w:w="28" w:type="dxa"/>
          <w:left w:w="28" w:type="dxa"/>
          <w:bottom w:w="28" w:type="dxa"/>
          <w:right w:w="28" w:type="dxa"/>
        </w:tblCellMar>
      </w:tblPr>
      <w:tblGrid>
        <w:gridCol w:w="477"/>
        <w:gridCol w:w="420"/>
        <w:gridCol w:w="422"/>
        <w:gridCol w:w="273"/>
        <w:gridCol w:w="461"/>
        <w:gridCol w:w="151"/>
        <w:gridCol w:w="119"/>
        <w:gridCol w:w="119"/>
        <w:gridCol w:w="119"/>
        <w:gridCol w:w="273"/>
        <w:gridCol w:w="461"/>
        <w:gridCol w:w="151"/>
        <w:gridCol w:w="109"/>
        <w:gridCol w:w="109"/>
        <w:gridCol w:w="109"/>
        <w:gridCol w:w="239"/>
        <w:gridCol w:w="513"/>
        <w:gridCol w:w="133"/>
        <w:gridCol w:w="109"/>
        <w:gridCol w:w="109"/>
        <w:gridCol w:w="109"/>
        <w:gridCol w:w="236"/>
        <w:gridCol w:w="508"/>
        <w:gridCol w:w="185"/>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and PSUs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145" w:type="dxa"/>
        <w:jc w:val="center"/>
        <w:tblInd w:w="0" w:type="dxa"/>
        <w:tblLayout w:type="fixed"/>
        <w:tblCellMar>
          <w:top w:w="28" w:type="dxa"/>
          <w:left w:w="28" w:type="dxa"/>
          <w:bottom w:w="28" w:type="dxa"/>
          <w:right w:w="28" w:type="dxa"/>
        </w:tblCellMar>
      </w:tblPr>
      <w:tblGrid>
        <w:gridCol w:w="924"/>
        <w:gridCol w:w="811"/>
        <w:gridCol w:w="815"/>
        <w:gridCol w:w="273"/>
        <w:gridCol w:w="461"/>
        <w:gridCol w:w="151"/>
        <w:gridCol w:w="119"/>
        <w:gridCol w:w="119"/>
        <w:gridCol w:w="119"/>
        <w:gridCol w:w="273"/>
        <w:gridCol w:w="461"/>
        <w:gridCol w:w="151"/>
        <w:gridCol w:w="109"/>
        <w:gridCol w:w="109"/>
        <w:gridCol w:w="109"/>
        <w:gridCol w:w="239"/>
        <w:gridCol w:w="513"/>
        <w:gridCol w:w="133"/>
        <w:gridCol w:w="109"/>
        <w:gridCol w:w="109"/>
        <w:gridCol w:w="109"/>
        <w:gridCol w:w="236"/>
        <w:gridCol w:w="508"/>
        <w:gridCol w:w="185"/>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shortfalls or excess windfall tax benefits and tax deficiencies for shortfalls related to the vesting and exercise of stock-based awards, which are recognized as a component of the Company’s Income tax expense, were not material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13.     Net Income (loss) per Common Share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separation was executed through WDC’s pro rata distribution of 80.1% of the outstanding shares of common stock of the Company to holders of WDC’s common stock as of February 21, 2025. On the separation date, the Company issued 145 million shares of common stock, par value $0.01 per share. This share amount is utilized for the calculation of basic and diluted earnings per share for all periods presented prior to the separation, and these shares are treated as issued and outstanding for purposes of calculating historical earnings per share. For periods prior to the separation, it is assumed that there are no dilutive equity instruments as there were no equity awards of Sandisk outstanding prior to the separation.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basic and diluted income (loss) per common share:</w:t>
      </w:r>
    </w:p>
    <w:tbl>
      <w:tblPr>
        <w:tblW w:w="7456" w:type="dxa"/>
        <w:jc w:val="left"/>
        <w:tblInd w:w="0" w:type="dxa"/>
        <w:tblLayout w:type="fixed"/>
        <w:tblCellMar>
          <w:top w:w="28" w:type="dxa"/>
          <w:left w:w="28" w:type="dxa"/>
          <w:bottom w:w="28" w:type="dxa"/>
          <w:right w:w="28" w:type="dxa"/>
        </w:tblCellMar>
      </w:tblPr>
      <w:tblGrid>
        <w:gridCol w:w="1007"/>
        <w:gridCol w:w="888"/>
        <w:gridCol w:w="894"/>
        <w:gridCol w:w="196"/>
        <w:gridCol w:w="631"/>
        <w:gridCol w:w="109"/>
        <w:gridCol w:w="109"/>
        <w:gridCol w:w="109"/>
        <w:gridCol w:w="109"/>
        <w:gridCol w:w="225"/>
        <w:gridCol w:w="535"/>
        <w:gridCol w:w="125"/>
        <w:gridCol w:w="109"/>
        <w:gridCol w:w="109"/>
        <w:gridCol w:w="109"/>
        <w:gridCol w:w="196"/>
        <w:gridCol w:w="631"/>
        <w:gridCol w:w="109"/>
        <w:gridCol w:w="109"/>
        <w:gridCol w:w="109"/>
        <w:gridCol w:w="109"/>
        <w:gridCol w:w="204"/>
        <w:gridCol w:w="565"/>
        <w:gridCol w:w="160"/>
      </w:tblGrid>
      <w:tr>
        <w:trPr/>
        <w:tc>
          <w:tcPr>
            <w:tcW w:w="100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 except per share amounts)</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Dilutive weighted-average shares </w:t>
            </w:r>
            <w:r>
              <w:rPr>
                <w:rFonts w:ascii="Times New Roman;sans-serif" w:hAnsi="Times New Roman;sans-serif"/>
                <w:b w:val="false"/>
                <w:color w:val="000000"/>
                <w:sz w:val="12"/>
              </w:rPr>
              <w:t>(1)</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Dilutive stock-based awards were excluded from the calculation of diluted shares because their effect would have been anti-dilutive.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computed using (i) net income (loss) divided by (ii) weighted average basic shares outstanding. Diluted net income (loss) per share is computed as (i) net income divided by (ii) weighted average diluted shares outstanding. The treasury stock method is used to determine the dilutive impact of unvested equity awards.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shares include dilutive outstanding employee RSUs, PSUs, and rights to purchase shares of common stock under the ESPP. For the three and nine months ended March 28, 2025, the Company recorded net losses, and as such, all potentially dilutive securities have been excluded from those periods as including them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14.    Income Tax Expense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was signed into law,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Company does not expect to be subject to the CAMT of 15% for fiscal year 2025 as its average annual AFSI did not exceed $1.0 billion for the preceding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20, 2021, the Organization for Economic Co-operation and Development G20 (“OECD/G20”) Inclusive Framework on Base Erosion and Profit Shifting released Model Global Anti-Base Erosion rules under Pillar Two (“Pillar Two”). Several non-U.S. jurisdictions have either enacted legislation or announced their intention to enact future legislation to adopt certain or all components of Pillar Two, some of which are effective for the Company in fiscal year 2025. For fiscal year 2025, the Company currently expects to be able to meet certain transitional safe harbors and does not expect any material Pillar Two taxes. As more jurisdictions adopt this legislation in fiscal year 2026, there may be material increases in the Company’s future tax obligations in certain jurisdictions.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Income tax expense and the effective tax rate:</w:t>
      </w:r>
    </w:p>
    <w:tbl>
      <w:tblPr>
        <w:tblW w:w="7019" w:type="dxa"/>
        <w:jc w:val="center"/>
        <w:tblInd w:w="0" w:type="dxa"/>
        <w:tblLayout w:type="fixed"/>
        <w:tblCellMar>
          <w:top w:w="28" w:type="dxa"/>
          <w:left w:w="28" w:type="dxa"/>
          <w:bottom w:w="28" w:type="dxa"/>
          <w:right w:w="28" w:type="dxa"/>
        </w:tblCellMar>
      </w:tblPr>
      <w:tblGrid>
        <w:gridCol w:w="723"/>
        <w:gridCol w:w="633"/>
        <w:gridCol w:w="639"/>
        <w:gridCol w:w="196"/>
        <w:gridCol w:w="631"/>
        <w:gridCol w:w="256"/>
        <w:gridCol w:w="109"/>
        <w:gridCol w:w="109"/>
        <w:gridCol w:w="109"/>
        <w:gridCol w:w="221"/>
        <w:gridCol w:w="374"/>
        <w:gridCol w:w="289"/>
        <w:gridCol w:w="109"/>
        <w:gridCol w:w="109"/>
        <w:gridCol w:w="109"/>
        <w:gridCol w:w="196"/>
        <w:gridCol w:w="631"/>
        <w:gridCol w:w="256"/>
        <w:gridCol w:w="109"/>
        <w:gridCol w:w="109"/>
        <w:gridCol w:w="109"/>
        <w:gridCol w:w="196"/>
        <w:gridCol w:w="496"/>
        <w:gridCol w:w="301"/>
      </w:tblGrid>
      <w:tr>
        <w:trPr/>
        <w:tc>
          <w:tcPr>
            <w:tcW w:w="7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relative mix of earnings and losses by jurisdiction, the goodwill impairment, the deduction for foreign-derived intangible income, credits and tax holidays in Malaysia that will expire at various dates during years 2028 through 2031 resulted in decreases to the effective tax rate below the U.S. statutory rate for the three and nine months ended March 28, 2025.</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drivers of the difference between the effective tax rate for the three and nine months ended March 29, 2024 and the U.S. Federal statutory rate of 21% are the relative mix of earnings and losses by jurisdiction, the deduction for foreign-derived intangible income, credits and tax holidays in Malaysia.</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Uncertain Tax Positions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 the exception of certain unrecognized tax benefits that are directly associated with the tax position taken, unrecognized tax benefits are presented gross in the Condensed Consolidated Balance Sheets.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tabular reconciliation of the total amounts of unrecognized tax benefits, excluding accrued interest and penalties for the nine months ended March 28, 2025:</w:t>
      </w:r>
    </w:p>
    <w:tbl>
      <w:tblPr>
        <w:tblW w:w="5909" w:type="dxa"/>
        <w:jc w:val="left"/>
        <w:tblInd w:w="0" w:type="dxa"/>
        <w:tblLayout w:type="fixed"/>
        <w:tblCellMar>
          <w:top w:w="28" w:type="dxa"/>
          <w:left w:w="28" w:type="dxa"/>
          <w:bottom w:w="28" w:type="dxa"/>
          <w:right w:w="28" w:type="dxa"/>
        </w:tblCellMar>
      </w:tblPr>
      <w:tblGrid>
        <w:gridCol w:w="1772"/>
        <w:gridCol w:w="1555"/>
        <w:gridCol w:w="1563"/>
        <w:gridCol w:w="259"/>
        <w:gridCol w:w="557"/>
        <w:gridCol w:w="203"/>
      </w:tblGrid>
      <w:tr>
        <w:trPr/>
        <w:tc>
          <w:tcPr>
            <w:tcW w:w="177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balance at June 28, 2024</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Gross increases related to current year tax positions </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 related to prior year tax positions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 related to transfer from Western Digital Corporation</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 related to settlement</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balance at March 28, 2025</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As of March 28, 2025 and June 28, 2024, the liability for unrecognized tax benefits (excluding accrued interest and penalties) was </w:t>
      </w:r>
      <w:r>
        <w:rPr>
          <w:rFonts w:ascii="Times New Roman;sans-serif" w:hAnsi="Times New Roman;sans-serif"/>
          <w:b w:val="false"/>
          <w:color w:val="000000"/>
          <w:sz w:val="20"/>
          <w:shd w:fill="FFFFFF" w:val="clear"/>
        </w:rPr>
        <w:t xml:space="preserve">$127 million and $47 million, respectively.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March 28, 2025 and June 28, 2024 was $4 million </w:t>
      </w:r>
      <w:r>
        <w:rPr>
          <w:rFonts w:ascii="Times New Roman;sans-serif" w:hAnsi="Times New Roman;sans-serif"/>
          <w:b w:val="false"/>
          <w:color w:val="000000"/>
          <w:sz w:val="20"/>
        </w:rPr>
        <w:t>and $9 million, respectively.</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relating to the examination of the Company’s tax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SANDISK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15.    Employee Termination and Other Charges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Business Realignment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The Company periodically incurs charges to realign its operations with anticipated market demand, primarily consisting of organization rationalization designed to streamline its business, reduce its cost structure and focus its resources. The Company has taken actions to reduce the amount of capital invested in facilities, including the sale-leaseback of its facility in Milpitas, California, in September 2023, as discussed in Part 1, Item 1, Note 11, </w:t>
      </w:r>
      <w:r>
        <w:rPr>
          <w:rFonts w:ascii="Times New Roman;sans-serif" w:hAnsi="Times New Roman;sans-serif"/>
          <w:b w:val="false"/>
          <w:i/>
          <w:color w:val="000000"/>
          <w:sz w:val="20"/>
        </w:rPr>
        <w:t xml:space="preserve">Leases and Other Commitments </w:t>
      </w:r>
      <w:r>
        <w:rPr>
          <w:rFonts w:ascii="Times New Roman;sans-serif" w:hAnsi="Times New Roman;sans-serif"/>
          <w:b w:val="false"/>
          <w:color w:val="000000"/>
          <w:sz w:val="20"/>
        </w:rPr>
        <w:t>of the Notes to Condensed Consolidated Financial Statements included in this Quarterly Report on Form 10-Q.</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net charges related to these actions for the periods presented:</w:t>
      </w:r>
    </w:p>
    <w:tbl>
      <w:tblPr>
        <w:tblW w:w="7906" w:type="dxa"/>
        <w:jc w:val="left"/>
        <w:tblInd w:w="0" w:type="dxa"/>
        <w:tblLayout w:type="fixed"/>
        <w:tblCellMar>
          <w:top w:w="28" w:type="dxa"/>
          <w:left w:w="28" w:type="dxa"/>
          <w:bottom w:w="28" w:type="dxa"/>
          <w:right w:w="28" w:type="dxa"/>
        </w:tblCellMar>
      </w:tblPr>
      <w:tblGrid>
        <w:gridCol w:w="1208"/>
        <w:gridCol w:w="1057"/>
        <w:gridCol w:w="1064"/>
        <w:gridCol w:w="243"/>
        <w:gridCol w:w="506"/>
        <w:gridCol w:w="135"/>
        <w:gridCol w:w="109"/>
        <w:gridCol w:w="109"/>
        <w:gridCol w:w="109"/>
        <w:gridCol w:w="243"/>
        <w:gridCol w:w="506"/>
        <w:gridCol w:w="135"/>
        <w:gridCol w:w="109"/>
        <w:gridCol w:w="109"/>
        <w:gridCol w:w="109"/>
        <w:gridCol w:w="317"/>
        <w:gridCol w:w="389"/>
        <w:gridCol w:w="178"/>
        <w:gridCol w:w="114"/>
        <w:gridCol w:w="114"/>
        <w:gridCol w:w="114"/>
        <w:gridCol w:w="240"/>
        <w:gridCol w:w="500"/>
        <w:gridCol w:w="189"/>
      </w:tblGrid>
      <w:tr>
        <w:trPr/>
        <w:tc>
          <w:tcPr>
            <w:tcW w:w="120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42"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 benefits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termination and other</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sale-leaseback of facility</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employee termination and other charges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termination benefits accrual balance as of March 28, 2025 and the periodic activity during the three and nine months ended March 28, 2025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16.    Legal Proceedings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Combined Financial Statements and notes thereto for the fiscal year ended June 28, 2024, included in our Registration Statement on Form 10, filed with the United States (“U.S.”) Securities and Exchange Commission (“SEC”) on November 25, 2024, and as further amended thereafter and declared effective on January 31, 2025 (as amended, the “Form 10”). See also “Forward-Looking Statements” immediately prior to Part I, Item 1 in this Quarterly Report on Form 10-Q.</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references herein to specific years and quarters are to our fiscal years and fiscal quarters. As used herein, the terms “we,” “us,” “our,” and the “Company” refer to Sandisk Corporation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Our solutions include a broad range of solid-state drives (“SSD”), embedded products, removable cards, universal serial bus drives and wafers and components. Our broad portfolio of technology and products addresses multiple end markets of “Cloud,” “Client,” and “Consumer.”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Client end market, we provide our original equipment manufacturer (“OEM”)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 The Cloud end market is comprised primarily of products for public or private cloud environments and end customers.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ends on the Friday nearest to June 30 and typically consists of 52 weeks. Approximately every five to six years, we report a 53-week fiscal year to align the fiscal year with the foregoing policy. Fiscal year 2025, which will end on June 27, 2025, and fiscal year 2024, which ended on June 28, 2024, are each comprised of 52 weeks, with all quarters presented consisting of 13 weeks.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Separation of Business Units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30, 2023, Western Digital Corporation (“WDC”) announced that its board of directors (the “WDC Board of Directors”) authorized management to pursue a plan to separate the Company into an independent public company. The separation received final approval by the WDC Board of Directors and was completed on February 21, 2025. Prior to February 21, 2025, the Company was wholly owned by WDC.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2025, WDC executed the spin-off of the Company through WDC’s pro rata distribution of 80.1% of the outstanding shares of common stock of the Company to holders of WDC’s common stock. Each WDC stockholder received one-third (1/3) of one share of the Company’s common stock for each share of WDC’s common stock held by such WDC stockholder as of February 12, 2025, the record date of the distribution. Upon completion of the separation, WDC owned 19.9% of the outstanding shares of the Company’s common stock, which WDC is expected to retain for a period of up to twelve months following the distribution. Following the distribution, the Company became an independent publicly listed company, and on February 24, 2025, the Company began trading as an independent publicly traded company under the stock symbol “SNDK” on Nasdaq. </w:t>
      </w:r>
    </w:p>
    <w:p>
      <w:pPr>
        <w:pStyle w:val="TextBody"/>
        <w:bidi w:val="0"/>
        <w:spacing w:lineRule="auto" w:line="288" w:before="0" w:after="12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SanDisk Semiconductor (Shanghai) Co. Ltd. (“SDSS”)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As discussed in Part I, Item 1, Note 10, </w:t>
      </w:r>
      <w:r>
        <w:rPr>
          <w:rFonts w:ascii="Times New Roman;sans-serif" w:hAnsi="Times New Roman;sans-serif"/>
          <w:b w:val="false"/>
          <w:i/>
          <w:color w:val="000000"/>
          <w:sz w:val="20"/>
        </w:rPr>
        <w:t>Related Parties and Related Commitments and Contingencies</w:t>
      </w:r>
      <w:r>
        <w:rPr>
          <w:color w:val="000000"/>
        </w:rPr>
        <w:t xml:space="preserve"> </w:t>
      </w:r>
      <w:r>
        <w:rPr>
          <w:rFonts w:ascii="Times New Roman;sans-serif" w:hAnsi="Times New Roman;sans-serif"/>
          <w:b w:val="false"/>
          <w:color w:val="000000"/>
          <w:sz w:val="20"/>
        </w:rPr>
        <w:t xml:space="preserve">of the Notes to the Condensed Consolidated Financial Statements included in this Quarterly Report on Form 10-Q, on September 28, 2024, prior to the separation, WDC’s wholly-owned subsidiary, SanDisk China Limited (“SanDisk China”) completed the sale of 80% of its equity interest in SDSS to JCET Management Co., Ltd. (“JCET”), a wholly-owned subsidiary of JCET Group Co., Ltd., a Chinese publicly listed company, thereby forming a venture between SanDisk China and JCET (the “SDSS Venture”). The transaction resulted in a pre-tax gain of $34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and in connection with, the sale of SDSS, the Company entered into a five-year supply agreement with SDSS to purchase certain flash-based products with a minimum annual commitment of $550 million. As a result of this transaction, we expect to incur a modest reduction in annual operating expenses and a reduction in annual capital expenditures related to the assembly and testing of flash-based products. We also anticipate that the transition to a contract manufacturing model through SDSS will result in a small increase in our annual cost of revenue for flash-based products.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Sale-Leaseback</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WDC completed a sale and leaseback of its facility in Milpitas, California, and received net proceeds of $191 million in cash. A substantial majority of these assets are associated with the Company, and as a result, $134 million of the net proceeds from the sale-leaseback transaction were allocated to us on a relative square footage basis. The property is being leased back to the Company at a total annual rate of $16 million for the first year and increasing by 3% per year thereafter through January 1, 2039. The lease includes three five-year renewal options and one four-year renewal option for the ability to extend through December 2057. The associated operating lease liability and right-of-use asset for this facility has been included in the Condensed Consolidated Balance Sheets as of March 28, 2025 and June 28, 2024. This facility is utilized in the Company’s operations, and the total lease expense has been allocated to the Company based on the continued usage of the facility.</w:t>
      </w:r>
    </w:p>
    <w:p>
      <w:pPr>
        <w:pStyle w:val="TextBody"/>
        <w:bidi w:val="0"/>
        <w:spacing w:lineRule="auto" w:line="288" w:before="0" w:after="12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Impairment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As discussed in Part I, Item 1, Note 5, </w:t>
      </w:r>
      <w:r>
        <w:rPr>
          <w:rFonts w:ascii="Times New Roman;sans-serif" w:hAnsi="Times New Roman;sans-serif"/>
          <w:b w:val="false"/>
          <w:i/>
          <w:color w:val="000000"/>
          <w:sz w:val="20"/>
        </w:rPr>
        <w:t>Supplemental Financial Statement Data</w:t>
      </w:r>
      <w:r>
        <w:rPr>
          <w:color w:val="000000"/>
          <w:shd w:fill="FFFFFF" w:val="clear"/>
        </w:rPr>
        <w:t xml:space="preserve"> </w:t>
      </w:r>
      <w:r>
        <w:rPr>
          <w:rFonts w:ascii="Times New Roman;sans-serif" w:hAnsi="Times New Roman;sans-serif"/>
          <w:b w:val="false"/>
          <w:color w:val="000000"/>
          <w:sz w:val="20"/>
          <w:shd w:fill="FFFFFF" w:val="clear"/>
        </w:rPr>
        <w:t xml:space="preserve">of the Notes to the Condensed Consolidated Financial Statements included in this Quarterly Report on Form 10-Q, subsequent to the separation, the Company performed a quantitative analysis of potential impairment of goodwill and long-lived assets, in accordance with Accounting Standards Codification (“ASC”) No. 350, Intangibles - Goodwill and Other. That analysis indicated that the estimated carrying value of our reporting unit exceeded its fair value. As a result, the Company has recorded a goodwill impairment charge of </w:t>
      </w:r>
      <w:r>
        <w:rPr>
          <w:rFonts w:ascii="Times New Roman;sans-serif" w:hAnsi="Times New Roman;sans-serif"/>
          <w:b w:val="false"/>
          <w:color w:val="000000"/>
          <w:sz w:val="20"/>
        </w:rPr>
        <w:t>$1.8 billion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rPr>
        <w:t>March 28, 2025</w:t>
      </w:r>
      <w:r>
        <w:rPr>
          <w:rFonts w:ascii="Times New Roman;sans-serif" w:hAnsi="Times New Roman;sans-serif"/>
          <w:b w:val="false"/>
          <w:color w:val="000000"/>
          <w:sz w:val="20"/>
          <w:shd w:fill="FFFFFF" w:val="clear"/>
        </w:rPr>
        <w:t>.</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Prior to the separation, the Company received financing from certain of WDC’s subsidiaries in the form of borrowings under revolving credit agreements and promissory notes to fund activities primarily related to Flash Ventures. Additional information regarding our outstanding notes due to (from) Western Digital Corporation is included in Part 1, Item 1, Note 9, </w:t>
      </w:r>
      <w:r>
        <w:rPr>
          <w:rFonts w:ascii="Times New Roman;sans-serif" w:hAnsi="Times New Roman;sans-serif"/>
          <w:b w:val="false"/>
          <w:i/>
          <w:color w:val="000000"/>
          <w:sz w:val="20"/>
        </w:rPr>
        <w:t>Related Parties and Related Commitments and Contingencies</w:t>
      </w:r>
      <w:r>
        <w:rPr>
          <w:color w:val="000000"/>
        </w:rPr>
        <w:t xml:space="preserve"> </w:t>
      </w:r>
      <w:r>
        <w:rPr>
          <w:rFonts w:ascii="Times New Roman;sans-serif" w:hAnsi="Times New Roman;sans-serif"/>
          <w:b w:val="false"/>
          <w:color w:val="000000"/>
          <w:sz w:val="20"/>
        </w:rPr>
        <w:t>of the Notes to Condensed Consolidated Financial Statements included in this Quarterly Report on Form 10-Q.</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As discussed in Part I, Item 1, Note 8,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of the Notes to the Condensed Consolidated Financial Statements included in this Quarterly Report on Form 10-Q,</w:t>
      </w:r>
      <w:r>
        <w:rPr>
          <w:color w:val="000000"/>
          <w:shd w:fill="FFFFFF" w:val="clear"/>
        </w:rPr>
        <w:t xml:space="preserve"> </w:t>
      </w:r>
      <w:r>
        <w:rPr>
          <w:rFonts w:ascii="Times New Roman;sans-serif" w:hAnsi="Times New Roman;sans-serif"/>
          <w:b w:val="false"/>
          <w:color w:val="000000"/>
          <w:sz w:val="20"/>
          <w:shd w:fill="FFFFFF" w:val="clear"/>
        </w:rPr>
        <w:t xml:space="preserve">on February 21, 2025, the Company entered into a loan agreement comprised of a seven-year Term Loan B facility in an aggregate principal amount of </w:t>
      </w:r>
      <w:r>
        <w:rPr>
          <w:rFonts w:ascii="Times New Roman;sans-serif" w:hAnsi="Times New Roman;sans-serif"/>
          <w:b w:val="false"/>
          <w:color w:val="000000"/>
          <w:sz w:val="20"/>
        </w:rPr>
        <w:t>$2 billion</w:t>
      </w:r>
      <w:r>
        <w:rPr>
          <w:color w:val="000000"/>
          <w:shd w:fill="FFFFFF" w:val="clear"/>
        </w:rPr>
        <w:t xml:space="preserve"> </w:t>
      </w:r>
      <w:r>
        <w:rPr>
          <w:rFonts w:ascii="Times New Roman;sans-serif" w:hAnsi="Times New Roman;sans-serif"/>
          <w:b w:val="false"/>
          <w:color w:val="000000"/>
          <w:sz w:val="20"/>
          <w:shd w:fill="FFFFFF" w:val="clear"/>
        </w:rPr>
        <w:t xml:space="preserve">(the “Term Loan Facility”) and a five-year revolving credit facility (the “Revolving Credit Facility”) in an aggregate principal amount of </w:t>
      </w:r>
      <w:r>
        <w:rPr>
          <w:rFonts w:ascii="Times New Roman;sans-serif" w:hAnsi="Times New Roman;sans-serif"/>
          <w:b w:val="false"/>
          <w:color w:val="000000"/>
          <w:sz w:val="20"/>
        </w:rPr>
        <w:t>$1.5 billion</w:t>
      </w:r>
      <w:r>
        <w:rPr>
          <w:color w:val="000000"/>
          <w:shd w:fill="FFFFFF" w:val="clear"/>
        </w:rPr>
        <w:t xml:space="preserve"> </w:t>
      </w:r>
      <w:r>
        <w:rPr>
          <w:rFonts w:ascii="Times New Roman;sans-serif" w:hAnsi="Times New Roman;sans-serif"/>
          <w:b w:val="false"/>
          <w:color w:val="000000"/>
          <w:sz w:val="20"/>
          <w:shd w:fill="FFFFFF" w:val="clear"/>
        </w:rPr>
        <w:t xml:space="preserve">with </w:t>
      </w:r>
      <w:r>
        <w:rPr>
          <w:rFonts w:ascii="Times New Roman;sans-serif" w:hAnsi="Times New Roman;sans-serif"/>
          <w:b w:val="false"/>
          <w:color w:val="000000"/>
          <w:sz w:val="20"/>
        </w:rPr>
        <w:t>$150 million</w:t>
      </w:r>
      <w:r>
        <w:rPr>
          <w:color w:val="000000"/>
          <w:shd w:fill="FFFFFF" w:val="clear"/>
        </w:rPr>
        <w:t xml:space="preserve"> </w:t>
      </w:r>
      <w:r>
        <w:rPr>
          <w:rFonts w:ascii="Times New Roman;sans-serif" w:hAnsi="Times New Roman;sans-serif"/>
          <w:b w:val="false"/>
          <w:color w:val="000000"/>
          <w:sz w:val="20"/>
          <w:shd w:fill="FFFFFF" w:val="clear"/>
        </w:rPr>
        <w:t>for letters of credit.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On February 21, 2025, the Company borrowed </w:t>
      </w:r>
      <w:r>
        <w:rPr>
          <w:rFonts w:ascii="Times New Roman;sans-serif" w:hAnsi="Times New Roman;sans-serif"/>
          <w:b w:val="false"/>
          <w:color w:val="000000"/>
          <w:sz w:val="20"/>
        </w:rPr>
        <w:t>$2 billion</w:t>
      </w:r>
      <w:r>
        <w:rPr>
          <w:color w:val="000000"/>
          <w:shd w:fill="FFFFFF" w:val="clear"/>
        </w:rPr>
        <w:t xml:space="preserve"> </w:t>
      </w:r>
      <w:r>
        <w:rPr>
          <w:rFonts w:ascii="Times New Roman;sans-serif" w:hAnsi="Times New Roman;sans-serif"/>
          <w:b w:val="false"/>
          <w:color w:val="000000"/>
          <w:sz w:val="20"/>
          <w:shd w:fill="FFFFFF" w:val="clear"/>
        </w:rPr>
        <w:t xml:space="preserve">under its Term Loan Facility. The Company used a portion of the proceeds of the borrowing </w:t>
      </w:r>
      <w:r>
        <w:rPr>
          <w:rFonts w:ascii="Times New Roman;sans-serif" w:hAnsi="Times New Roman;sans-serif"/>
          <w:b w:val="false"/>
          <w:color w:val="000000"/>
          <w:sz w:val="20"/>
        </w:rPr>
        <w:t>to make a net distribution payment</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$1.5 billion to WDC</w:t>
      </w:r>
      <w:r>
        <w:rPr>
          <w:rFonts w:ascii="Times New Roman;sans-serif" w:hAnsi="Times New Roman;sans-serif"/>
          <w:b w:val="false"/>
          <w:color w:val="000000"/>
          <w:sz w:val="20"/>
          <w:shd w:fill="FFFFFF" w:val="clear"/>
        </w:rPr>
        <w:t xml:space="preserve">, with the remainder to be used for general corporate purposes of the Company. </w:t>
      </w:r>
      <w:r>
        <w:rPr>
          <w:rFonts w:ascii="Times New Roman;sans-serif" w:hAnsi="Times New Roman;sans-serif"/>
          <w:b w:val="false"/>
          <w:color w:val="000000"/>
          <w:sz w:val="20"/>
        </w:rPr>
        <w:t>The proceeds of the Revolving Credit Facility may be used by the Company for working capital and general corpor</w:t>
      </w:r>
      <w:r>
        <w:rPr>
          <w:rFonts w:ascii="Times New Roman;sans-serif" w:hAnsi="Times New Roman;sans-serif"/>
          <w:b w:val="false"/>
          <w:color w:val="000000"/>
          <w:sz w:val="20"/>
          <w:shd w:fill="FFFFFF" w:val="clear"/>
        </w:rPr>
        <w:t xml:space="preserve">ate purposes.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28, 2025</w:t>
      </w:r>
      <w:r>
        <w:rPr>
          <w:rFonts w:ascii="Times New Roman;sans-serif" w:hAnsi="Times New Roman;sans-serif"/>
          <w:b w:val="false"/>
          <w:color w:val="000000"/>
          <w:sz w:val="20"/>
          <w:shd w:fill="FFFFFF" w:val="clear"/>
        </w:rPr>
        <w:t xml:space="preserve">, the Company has drawn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amounts under the Revolving Credit Facility.</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Operational Update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2024, macroeconomic factors such as inflation, changes in interest rates, and recession concerns softened demand of our products. As a result, we and our industry experienced a supply-demand imbalance, which resulted in reduced shipments and negatively impacted pricing during those periods. To adapt to these conditions, we implemented measures to reduce operating expenses and proactively manage supply and inventory to align with demand and improve our capital efficiency while continuing to deploy innovative products. These actions enabled us to scale back on capital expenditures, consolidate production lines, and reduce production, which resulted in incremental charges for employee termination and charges for unabsorbed manufacturing overhead costs due to the underutilization of facilities as we temporarily scaled back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In the first half of fiscal 2025, we saw an improvement in the supply and demand dynamic, leading to improved revenues. The increase in demand resulted in increased revenue and gross margin in the first and second quarter of fiscal 2025 from the comparable period in the prior year. Recently, we have been experiencing what we believe is a mid-cycle slowdown. During the third quarter of fiscal year 2025, we incurred charges for unabsorbed manufacturing overhead costs due to reduced utilization of our manufacturing capacity totaling</w:t>
      </w:r>
      <w:r>
        <w:rPr>
          <w:color w:val="000000"/>
          <w:shd w:fill="FFFFFF" w:val="clear"/>
        </w:rPr>
        <w:t xml:space="preserve"> </w:t>
      </w:r>
      <w:r>
        <w:rPr>
          <w:rFonts w:ascii="Times New Roman;sans-serif" w:hAnsi="Times New Roman;sans-serif"/>
          <w:b w:val="false"/>
          <w:color w:val="000000"/>
          <w:sz w:val="20"/>
        </w:rPr>
        <w:t xml:space="preserve">$24 million, and we anticipate to incur additional charges as we moderate production levels to align with demand for our products in the remainder of fiscal 2025.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United States has recently announced changes to U.S. trade policy, including increased tariffs on imported goods. Currently, the majority of our products sold in the U.S. are exempt from tariffs, but additional tariff increases or the loss of applicable exemptions would increase the cost of goods sold for our products sold in the U.S., which could negatively impact our margins and financial performance. Increases in the price of our products in response to increased costs may adversely impact demand for those products in the U.S., which could also negatively impact our performance and financial results. Future trade policies and regulations in the U.S. and other countries, the terms of any trade arrangements that may be negotiated between the U.S. and other countries, the scope, amount, or duration of tariffs that may be imposed by any country, and the impact of these factors on our business are uncertain and may contribute to increased costs and reduced demand for our products, each of which could harm our financial performance.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regard to technological advances, we anticipate that digital transformation, including the artificial intelligence data-cycle, will drive improved market conditions in the long term for our data storage products.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actively monitor developments impacting our business and may take additional responsive actions that we determine to be in the best interest of our business and stakeholders.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2025, the Company became a standalone publicly traded company, and its financial statements are now presented on a consolidated basis. Prior to the separation, the Company’s historical combined financial statements were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“Consolidated Financial Statements” and have been prepared in accordance with U.S. generally accepted accounting principles (“GAAP”).</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reflects the Company’s financial condition and results of operations as set forth in the unaudited Condensed Consolidated Financial Statements included in this Quarterly Report on Form 10-Q.</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The unaudited Condensed Consolidated Statements of Operations include all revenues and costs directly attributable to the Company, including costs for facilities, functions, and services used by the Company. Prior to the separation, the Company’s business had historically functioned together with the other businesses controlled by WDC. Accordingly, the Company relied on WDC’s corporate overhead and other support functions for its business. Therefore, certain corporate overhead and shared costs were allocated to the Company including (i) certain general and administrative expenses related to WDC’s support functions that are provided on a centralized basis within WDC (e.g., expenses for corporate facilities, executive oversight, treasury, finance, legal, human resources, compliance, information technology, employee benefit plans, stock compensation plans and other corporate functions), and (ii) certain operations support costs incurred by WDC, including product sourcing, maintenance and support services, and other supply chain functions. These expenses were specifically identified, when possible, or allocated based on revenues, headcount, usage or other allocation methods that are considered to be a reasonable reflection of the utilization of services provided or benefit received. While management considers that such allocations were made on a reasonable basis consistent with benefits received, the Condensed Consolidated Financial Statements included in this Quarterly Report on Form 10-Q may not be indicative of our future performance, do not necessarily include the actual expenses that would have been incurred by us and may not reflect our results of operations, financial position, and cash flows had we been a separate, standalone company during the periods presented. For additional information, see Part I, Item 1, Note 1, </w:t>
      </w:r>
      <w:r>
        <w:rPr>
          <w:rFonts w:ascii="Times New Roman;sans-serif" w:hAnsi="Times New Roman;sans-serif"/>
          <w:b w:val="false"/>
          <w:i/>
          <w:color w:val="000000"/>
          <w:sz w:val="20"/>
        </w:rPr>
        <w:t>Organization and Basis of Presentation</w:t>
      </w:r>
      <w:r>
        <w:rPr>
          <w:color w:val="000000"/>
        </w:rPr>
        <w:t xml:space="preserve"> </w:t>
      </w:r>
      <w:r>
        <w:rPr>
          <w:rFonts w:ascii="Times New Roman;sans-serif" w:hAnsi="Times New Roman;sans-serif"/>
          <w:b w:val="false"/>
          <w:color w:val="000000"/>
          <w:sz w:val="20"/>
        </w:rPr>
        <w:t xml:space="preserve">of the Notes to Condensed Consolidated Financial Statements included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before="0" w:after="12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The following table sets forth, for the periods presented, selected summary information from our Condensed Consolidated Statements of Operations by dollars and percentage of net revenue</w:t>
      </w:r>
      <w:r>
        <w:rPr>
          <w:rFonts w:ascii="Times New Roman;sans-serif" w:hAnsi="Times New Roman;sans-serif"/>
          <w:b w:val="false"/>
          <w:color w:val="000000"/>
          <w:sz w:val="13"/>
        </w:rPr>
        <w:t>(1)</w:t>
      </w:r>
      <w:r>
        <w:rPr>
          <w:rFonts w:ascii="Times New Roman;sans-serif" w:hAnsi="Times New Roman;sans-serif"/>
          <w:b w:val="false"/>
          <w:color w:val="000000"/>
          <w:sz w:val="20"/>
        </w:rPr>
        <w:t>:</w:t>
      </w:r>
    </w:p>
    <w:tbl>
      <w:tblPr>
        <w:tblW w:w="9918" w:type="dxa"/>
        <w:jc w:val="left"/>
        <w:tblInd w:w="0" w:type="dxa"/>
        <w:tblLayout w:type="fixed"/>
        <w:tblCellMar>
          <w:top w:w="28" w:type="dxa"/>
          <w:left w:w="28" w:type="dxa"/>
          <w:bottom w:w="28" w:type="dxa"/>
          <w:right w:w="28" w:type="dxa"/>
        </w:tblCellMar>
      </w:tblPr>
      <w:tblGrid>
        <w:gridCol w:w="962"/>
        <w:gridCol w:w="843"/>
        <w:gridCol w:w="849"/>
        <w:gridCol w:w="196"/>
        <w:gridCol w:w="631"/>
        <w:gridCol w:w="109"/>
        <w:gridCol w:w="109"/>
        <w:gridCol w:w="109"/>
        <w:gridCol w:w="109"/>
        <w:gridCol w:w="314"/>
        <w:gridCol w:w="316"/>
        <w:gridCol w:w="256"/>
        <w:gridCol w:w="109"/>
        <w:gridCol w:w="109"/>
        <w:gridCol w:w="109"/>
        <w:gridCol w:w="196"/>
        <w:gridCol w:w="556"/>
        <w:gridCol w:w="109"/>
        <w:gridCol w:w="109"/>
        <w:gridCol w:w="109"/>
        <w:gridCol w:w="109"/>
        <w:gridCol w:w="278"/>
        <w:gridCol w:w="278"/>
        <w:gridCol w:w="256"/>
        <w:gridCol w:w="109"/>
        <w:gridCol w:w="109"/>
        <w:gridCol w:w="109"/>
        <w:gridCol w:w="196"/>
        <w:gridCol w:w="631"/>
        <w:gridCol w:w="109"/>
        <w:gridCol w:w="109"/>
        <w:gridCol w:w="109"/>
        <w:gridCol w:w="109"/>
        <w:gridCol w:w="315"/>
        <w:gridCol w:w="315"/>
        <w:gridCol w:w="568"/>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 except percentages)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separation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and other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(7,259)</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tbl>
      <w:tblPr>
        <w:tblW w:w="9616" w:type="dxa"/>
        <w:jc w:val="left"/>
        <w:tblInd w:w="0" w:type="dxa"/>
        <w:tblLayout w:type="fixed"/>
        <w:tblCellMar>
          <w:top w:w="28" w:type="dxa"/>
          <w:left w:w="28" w:type="dxa"/>
          <w:bottom w:w="28" w:type="dxa"/>
          <w:right w:w="28" w:type="dxa"/>
        </w:tblCellMar>
      </w:tblPr>
      <w:tblGrid>
        <w:gridCol w:w="962"/>
        <w:gridCol w:w="843"/>
        <w:gridCol w:w="849"/>
        <w:gridCol w:w="196"/>
        <w:gridCol w:w="631"/>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222"/>
        <w:gridCol w:w="496"/>
        <w:gridCol w:w="125"/>
        <w:gridCol w:w="109"/>
        <w:gridCol w:w="109"/>
        <w:gridCol w:w="109"/>
        <w:gridCol w:w="246"/>
        <w:gridCol w:w="249"/>
        <w:gridCol w:w="568"/>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 except percentages)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separation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business divestiture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and 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Percentage may not total due to rounding.</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presented, summary information regarding our disaggregated revenue:</w:t>
      </w:r>
    </w:p>
    <w:tbl>
      <w:tblPr>
        <w:tblW w:w="6936" w:type="dxa"/>
        <w:jc w:val="left"/>
        <w:tblInd w:w="0" w:type="dxa"/>
        <w:tblLayout w:type="fixed"/>
        <w:tblCellMar>
          <w:top w:w="28" w:type="dxa"/>
          <w:left w:w="28" w:type="dxa"/>
          <w:bottom w:w="28" w:type="dxa"/>
          <w:right w:w="28" w:type="dxa"/>
        </w:tblCellMar>
      </w:tblPr>
      <w:tblGrid>
        <w:gridCol w:w="856"/>
        <w:gridCol w:w="754"/>
        <w:gridCol w:w="760"/>
        <w:gridCol w:w="201"/>
        <w:gridCol w:w="572"/>
        <w:gridCol w:w="112"/>
        <w:gridCol w:w="109"/>
        <w:gridCol w:w="109"/>
        <w:gridCol w:w="109"/>
        <w:gridCol w:w="201"/>
        <w:gridCol w:w="572"/>
        <w:gridCol w:w="112"/>
        <w:gridCol w:w="109"/>
        <w:gridCol w:w="109"/>
        <w:gridCol w:w="109"/>
        <w:gridCol w:w="201"/>
        <w:gridCol w:w="572"/>
        <w:gridCol w:w="112"/>
        <w:gridCol w:w="109"/>
        <w:gridCol w:w="109"/>
        <w:gridCol w:w="109"/>
        <w:gridCol w:w="201"/>
        <w:gridCol w:w="571"/>
        <w:gridCol w:w="158"/>
      </w:tblGrid>
      <w:tr>
        <w:trPr/>
        <w:tc>
          <w:tcPr>
            <w:tcW w:w="85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w:t>
              <w:br/>
              <w:t>2025</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w:t>
              <w:br/>
              <w:t>2024</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end market:</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Client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geography:</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revenue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broad portfolio of technology and products addresses multiple end markets. Cloud represents a large and growing end market comprised primarily of products for public or private cloud environments and enterprise customers. Through the Client end market, the Company provides its OEM and channel customers a broad array of high-performance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decreased 1% in the three months ended March 28, 2025 from the comparable period in the prior year, primarily due to an 11% decrease in average selling prices (“ASP”) per gigabyte due to pricing pressure caused by market oversupply, partially offset by a 13% increase in exabytes sold due to stronger demand in our Cloud end market.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Net revenue </w:t>
      </w:r>
      <w:r>
        <w:rPr>
          <w:rFonts w:ascii="Times New Roman;sans-serif" w:hAnsi="Times New Roman;sans-serif"/>
          <w:b w:val="false"/>
          <w:color w:val="000000"/>
          <w:sz w:val="20"/>
        </w:rPr>
        <w:t>increased 11%</w:t>
      </w:r>
      <w:r>
        <w:rPr>
          <w:color w:val="000000"/>
          <w:shd w:fill="FFFFFF" w:val="clear"/>
        </w:rPr>
        <w:t xml:space="preserve"> </w:t>
      </w:r>
      <w:r>
        <w:rPr>
          <w:rFonts w:ascii="Times New Roman;sans-serif" w:hAnsi="Times New Roman;sans-serif"/>
          <w:b w:val="false"/>
          <w:color w:val="000000"/>
          <w:sz w:val="20"/>
          <w:shd w:fill="FFFFFF" w:val="clear"/>
        </w:rPr>
        <w:t xml:space="preserve">in the nine months ended March 28, 2025 from the comparable period in the prior year, primarily due to a </w:t>
      </w:r>
      <w:r>
        <w:rPr>
          <w:rFonts w:ascii="Times New Roman;sans-serif" w:hAnsi="Times New Roman;sans-serif"/>
          <w:b w:val="false"/>
          <w:color w:val="000000"/>
          <w:sz w:val="20"/>
        </w:rPr>
        <w:t>12%</w:t>
      </w:r>
      <w:r>
        <w:rPr>
          <w:color w:val="000000"/>
          <w:shd w:fill="FFFFFF" w:val="clear"/>
        </w:rPr>
        <w:t xml:space="preserv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 xml:space="preserve">in ASP per gigabyte due to improved pricing as the supply-demand balance improved, partially offset by a </w:t>
      </w:r>
      <w:r>
        <w:rPr>
          <w:rFonts w:ascii="Times New Roman;sans-serif" w:hAnsi="Times New Roman;sans-serif"/>
          <w:b w:val="false"/>
          <w:color w:val="000000"/>
          <w:sz w:val="20"/>
        </w:rPr>
        <w:t>1%</w:t>
      </w:r>
      <w:r>
        <w:rPr>
          <w:color w:val="000000"/>
          <w:shd w:fill="FFFFFF" w:val="clear"/>
        </w:rPr>
        <w:t xml:space="preserve"> </w:t>
      </w:r>
      <w:r>
        <w:rPr>
          <w:rFonts w:ascii="Times New Roman;sans-serif" w:hAnsi="Times New Roman;sans-serif"/>
          <w:b w:val="false"/>
          <w:color w:val="000000"/>
          <w:sz w:val="20"/>
        </w:rPr>
        <w:t>decrease</w:t>
      </w:r>
      <w:r>
        <w:rPr>
          <w:color w:val="000000"/>
          <w:shd w:fill="FFFFFF" w:val="clear"/>
        </w:rPr>
        <w:t xml:space="preserve"> </w:t>
      </w:r>
      <w:r>
        <w:rPr>
          <w:rFonts w:ascii="Times New Roman;sans-serif" w:hAnsi="Times New Roman;sans-serif"/>
          <w:b w:val="false"/>
          <w:color w:val="000000"/>
          <w:sz w:val="20"/>
          <w:shd w:fill="FFFFFF" w:val="clear"/>
        </w:rPr>
        <w:t>in exabytes sold due to softer demand in the Client and Consumer end markets</w:t>
      </w:r>
      <w:r>
        <w:rPr>
          <w:rFonts w:ascii="Times New Roman;sans-serif" w:hAnsi="Times New Roman;sans-serif"/>
          <w:b w:val="false"/>
          <w:color w:val="000000"/>
          <w:sz w:val="20"/>
        </w:rPr>
        <w:t xml:space="preserve">.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Cloud revenue </w:t>
      </w:r>
      <w:r>
        <w:rPr>
          <w:rFonts w:ascii="Times New Roman;sans-serif" w:hAnsi="Times New Roman;sans-serif"/>
          <w:b w:val="false"/>
          <w:color w:val="000000"/>
          <w:sz w:val="20"/>
        </w:rPr>
        <w:t xml:space="preserve">increased 103% </w:t>
      </w:r>
      <w:r>
        <w:rPr>
          <w:rFonts w:ascii="Times New Roman;sans-serif" w:hAnsi="Times New Roman;sans-serif"/>
          <w:b w:val="false"/>
          <w:color w:val="000000"/>
          <w:sz w:val="20"/>
          <w:shd w:fill="FFFFFF" w:val="clear"/>
        </w:rPr>
        <w:t xml:space="preserve">in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 xml:space="preserve">March 28, 2025 </w:t>
      </w:r>
      <w:r>
        <w:rPr>
          <w:rFonts w:ascii="Times New Roman;sans-serif" w:hAnsi="Times New Roman;sans-serif"/>
          <w:b w:val="false"/>
          <w:color w:val="000000"/>
          <w:sz w:val="20"/>
        </w:rPr>
        <w:t>from the comparable period in the prior year</w:t>
      </w:r>
      <w:r>
        <w:rPr>
          <w:rFonts w:ascii="Times New Roman;sans-serif" w:hAnsi="Times New Roman;sans-serif"/>
          <w:b w:val="false"/>
          <w:color w:val="000000"/>
          <w:sz w:val="20"/>
          <w:shd w:fill="FFFFFF" w:val="clear"/>
        </w:rPr>
        <w:t xml:space="preserve">, primarily due to a </w:t>
      </w:r>
      <w:r>
        <w:rPr>
          <w:rFonts w:ascii="Times New Roman;sans-serif" w:hAnsi="Times New Roman;sans-serif"/>
          <w:b w:val="false"/>
          <w:color w:val="000000"/>
          <w:sz w:val="20"/>
        </w:rPr>
        <w:t>75%</w:t>
      </w:r>
      <w:r>
        <w:rPr>
          <w:color w:val="000000"/>
          <w:shd w:fill="FFFFFF" w:val="clear"/>
        </w:rPr>
        <w:t xml:space="preserv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in exabytes sold</w:t>
      </w:r>
      <w:r>
        <w:rPr>
          <w:color w:val="000000"/>
        </w:rPr>
        <w:t xml:space="preserve"> </w:t>
      </w:r>
      <w:r>
        <w:rPr>
          <w:rFonts w:ascii="Times New Roman;sans-serif" w:hAnsi="Times New Roman;sans-serif"/>
          <w:b w:val="false"/>
          <w:color w:val="000000"/>
          <w:sz w:val="20"/>
        </w:rPr>
        <w:t>due to increased enterprise SSD shipments to data center customers and</w:t>
      </w:r>
      <w:r>
        <w:rPr>
          <w:color w:val="000000"/>
          <w:shd w:fill="FFFFFF" w:val="clear"/>
        </w:rPr>
        <w:t xml:space="preserve"> </w:t>
      </w:r>
      <w:r>
        <w:rPr>
          <w:rFonts w:ascii="Times New Roman;sans-serif" w:hAnsi="Times New Roman;sans-serif"/>
          <w:b w:val="false"/>
          <w:color w:val="000000"/>
          <w:sz w:val="20"/>
          <w:shd w:fill="FFFFFF" w:val="clear"/>
        </w:rPr>
        <w:t xml:space="preserve">a </w:t>
      </w:r>
      <w:r>
        <w:rPr>
          <w:rFonts w:ascii="Times New Roman;sans-serif" w:hAnsi="Times New Roman;sans-serif"/>
          <w:b w:val="false"/>
          <w:color w:val="000000"/>
          <w:sz w:val="20"/>
        </w:rPr>
        <w:t>16%</w:t>
      </w:r>
      <w:r>
        <w:rPr>
          <w:color w:val="000000"/>
          <w:shd w:fill="FFFFFF" w:val="clear"/>
        </w:rPr>
        <w:t xml:space="preserve"> </w:t>
      </w:r>
      <w:r>
        <w:rPr>
          <w:rFonts w:ascii="Times New Roman;sans-serif" w:hAnsi="Times New Roman;sans-serif"/>
          <w:b w:val="false"/>
          <w:color w:val="000000"/>
          <w:sz w:val="20"/>
        </w:rPr>
        <w:t xml:space="preserve">increase </w:t>
      </w:r>
      <w:r>
        <w:rPr>
          <w:rFonts w:ascii="Times New Roman;sans-serif" w:hAnsi="Times New Roman;sans-serif"/>
          <w:b w:val="false"/>
          <w:color w:val="000000"/>
          <w:sz w:val="20"/>
          <w:shd w:fill="FFFFFF" w:val="clear"/>
        </w:rPr>
        <w:t>in ASP per gigabyte</w:t>
      </w:r>
      <w:r>
        <w:rPr>
          <w:color w:val="000000"/>
        </w:rPr>
        <w:t xml:space="preserve"> </w:t>
      </w:r>
      <w:r>
        <w:rPr>
          <w:rFonts w:ascii="Times New Roman;sans-serif" w:hAnsi="Times New Roman;sans-serif"/>
          <w:b w:val="false"/>
          <w:color w:val="000000"/>
          <w:sz w:val="20"/>
        </w:rPr>
        <w:t>due to improved pricing.</w:t>
      </w:r>
      <w:r>
        <w:rPr>
          <w:color w:val="000000"/>
          <w:shd w:fill="FFFFFF" w:val="clear"/>
        </w:rPr>
        <w:t xml:space="preserve"> </w:t>
      </w:r>
      <w:r>
        <w:rPr>
          <w:rFonts w:ascii="Times New Roman;sans-serif" w:hAnsi="Times New Roman;sans-serif"/>
          <w:b w:val="false"/>
          <w:color w:val="000000"/>
          <w:sz w:val="20"/>
          <w:shd w:fill="FFFFFF" w:val="clear"/>
        </w:rPr>
        <w:t xml:space="preserve">Cloud revenue </w:t>
      </w:r>
      <w:r>
        <w:rPr>
          <w:rFonts w:ascii="Times New Roman;sans-serif" w:hAnsi="Times New Roman;sans-serif"/>
          <w:b w:val="false"/>
          <w:color w:val="000000"/>
          <w:sz w:val="20"/>
        </w:rPr>
        <w:t xml:space="preserve">increased 382% in the </w:t>
      </w:r>
      <w:r>
        <w:rPr>
          <w:rFonts w:ascii="Times New Roman;sans-serif" w:hAnsi="Times New Roman;sans-serif"/>
          <w:b w:val="false"/>
          <w:color w:val="000000"/>
          <w:sz w:val="20"/>
          <w:shd w:fill="FFFFFF" w:val="clear"/>
        </w:rPr>
        <w:t xml:space="preserve">nine months ended March 28, 2025 from the comparable period in the prior year, primarily due to a </w:t>
      </w:r>
      <w:r>
        <w:rPr>
          <w:rFonts w:ascii="Times New Roman;sans-serif" w:hAnsi="Times New Roman;sans-serif"/>
          <w:b w:val="false"/>
          <w:color w:val="000000"/>
          <w:sz w:val="20"/>
        </w:rPr>
        <w:t>256%</w:t>
      </w:r>
      <w:r>
        <w:rPr>
          <w:color w:val="000000"/>
          <w:shd w:fill="FFFFFF" w:val="clear"/>
        </w:rPr>
        <w:t xml:space="preserv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 xml:space="preserve">in exabytes sold and a </w:t>
      </w:r>
      <w:r>
        <w:rPr>
          <w:rFonts w:ascii="Times New Roman;sans-serif" w:hAnsi="Times New Roman;sans-serif"/>
          <w:b w:val="false"/>
          <w:color w:val="000000"/>
          <w:sz w:val="20"/>
        </w:rPr>
        <w:t>26%</w:t>
      </w:r>
      <w:r>
        <w:rPr>
          <w:color w:val="000000"/>
          <w:shd w:fill="FFFFFF" w:val="clear"/>
        </w:rPr>
        <w:t xml:space="preserv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in ASP per gigabyte.</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Client revenue </w:t>
      </w:r>
      <w:r>
        <w:rPr>
          <w:rFonts w:ascii="Times New Roman;sans-serif" w:hAnsi="Times New Roman;sans-serif"/>
          <w:b w:val="false"/>
          <w:color w:val="000000"/>
          <w:sz w:val="20"/>
        </w:rPr>
        <w:t xml:space="preserve">decreased 10% </w:t>
      </w:r>
      <w:r>
        <w:rPr>
          <w:rFonts w:ascii="Times New Roman;sans-serif" w:hAnsi="Times New Roman;sans-serif"/>
          <w:b w:val="false"/>
          <w:color w:val="000000"/>
          <w:sz w:val="20"/>
          <w:shd w:fill="FFFFFF" w:val="clear"/>
        </w:rPr>
        <w:t xml:space="preserve">in the three months ended March 28, 2025 </w:t>
      </w:r>
      <w:r>
        <w:rPr>
          <w:rFonts w:ascii="Times New Roman;sans-serif" w:hAnsi="Times New Roman;sans-serif"/>
          <w:b w:val="false"/>
          <w:color w:val="000000"/>
          <w:sz w:val="20"/>
        </w:rPr>
        <w:t>from the comparable period in the prior year,</w:t>
      </w:r>
      <w:r>
        <w:rPr>
          <w:color w:val="000000"/>
          <w:shd w:fill="FFFFFF" w:val="clear"/>
        </w:rPr>
        <w:t xml:space="preserve"> </w:t>
      </w:r>
      <w:r>
        <w:rPr>
          <w:rFonts w:ascii="Times New Roman;sans-serif" w:hAnsi="Times New Roman;sans-serif"/>
          <w:b w:val="false"/>
          <w:color w:val="000000"/>
          <w:sz w:val="20"/>
          <w:shd w:fill="FFFFFF" w:val="clear"/>
        </w:rPr>
        <w:t xml:space="preserve">primarily due to a </w:t>
      </w:r>
      <w:r>
        <w:rPr>
          <w:rFonts w:ascii="Times New Roman;sans-serif" w:hAnsi="Times New Roman;sans-serif"/>
          <w:b w:val="false"/>
          <w:color w:val="000000"/>
          <w:sz w:val="20"/>
        </w:rPr>
        <w:t>13%</w:t>
      </w:r>
      <w:r>
        <w:rPr>
          <w:color w:val="000000"/>
          <w:shd w:fill="FFFFFF" w:val="clear"/>
        </w:rPr>
        <w:t xml:space="preserve"> </w:t>
      </w:r>
      <w:r>
        <w:rPr>
          <w:rFonts w:ascii="Times New Roman;sans-serif" w:hAnsi="Times New Roman;sans-serif"/>
          <w:b w:val="false"/>
          <w:color w:val="000000"/>
          <w:sz w:val="20"/>
          <w:shd w:fill="FFFFFF" w:val="clear"/>
        </w:rPr>
        <w:t>decrease in ASP per gigab</w:t>
      </w:r>
      <w:r>
        <w:rPr>
          <w:rFonts w:ascii="Times New Roman;sans-serif" w:hAnsi="Times New Roman;sans-serif"/>
          <w:b w:val="false"/>
          <w:color w:val="000000"/>
          <w:sz w:val="20"/>
        </w:rPr>
        <w:t>yte due to pricing pressure,</w:t>
      </w:r>
      <w:r>
        <w:rPr>
          <w:color w:val="000000"/>
          <w:shd w:fill="FFFFFF" w:val="clear"/>
        </w:rPr>
        <w:t xml:space="preserve"> </w:t>
      </w:r>
      <w:r>
        <w:rPr>
          <w:rFonts w:ascii="Times New Roman;sans-serif" w:hAnsi="Times New Roman;sans-serif"/>
          <w:b w:val="false"/>
          <w:color w:val="000000"/>
          <w:sz w:val="20"/>
          <w:shd w:fill="FFFFFF" w:val="clear"/>
        </w:rPr>
        <w:t xml:space="preserve">partially offset by a </w:t>
      </w:r>
      <w:r>
        <w:rPr>
          <w:rFonts w:ascii="Times New Roman;sans-serif" w:hAnsi="Times New Roman;sans-serif"/>
          <w:b w:val="false"/>
          <w:color w:val="000000"/>
          <w:sz w:val="20"/>
        </w:rPr>
        <w:t>5%</w:t>
      </w:r>
      <w:r>
        <w:rPr>
          <w:color w:val="000000"/>
          <w:shd w:fill="FFFFFF" w:val="clear"/>
        </w:rPr>
        <w:t xml:space="preserv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in exabytes sold, primarily due to increased shipments to gaming customers</w:t>
      </w:r>
      <w:r>
        <w:rPr>
          <w:rFonts w:ascii="Times New Roman;sans-serif" w:hAnsi="Times New Roman;sans-serif"/>
          <w:b w:val="false"/>
          <w:color w:val="000000"/>
          <w:sz w:val="20"/>
        </w:rPr>
        <w:t>. Cli</w:t>
      </w:r>
      <w:r>
        <w:rPr>
          <w:rFonts w:ascii="Times New Roman;sans-serif" w:hAnsi="Times New Roman;sans-serif"/>
          <w:b w:val="false"/>
          <w:color w:val="000000"/>
          <w:sz w:val="20"/>
          <w:shd w:fill="FFFFFF" w:val="clear"/>
        </w:rPr>
        <w:t xml:space="preserve">ent revenue </w:t>
      </w:r>
      <w:r>
        <w:rPr>
          <w:rFonts w:ascii="Times New Roman;sans-serif" w:hAnsi="Times New Roman;sans-serif"/>
          <w:b w:val="false"/>
          <w:color w:val="000000"/>
          <w:sz w:val="20"/>
        </w:rPr>
        <w:t>increased 1%</w:t>
      </w:r>
      <w:r>
        <w:rPr>
          <w:color w:val="000000"/>
          <w:shd w:fill="FFFFFF" w:val="clear"/>
        </w:rPr>
        <w:t xml:space="preserve"> </w:t>
      </w:r>
      <w:r>
        <w:rPr>
          <w:rFonts w:ascii="Times New Roman;sans-serif" w:hAnsi="Times New Roman;sans-serif"/>
          <w:b w:val="false"/>
          <w:color w:val="000000"/>
          <w:sz w:val="20"/>
          <w:shd w:fill="FFFFFF" w:val="clear"/>
        </w:rPr>
        <w:t xml:space="preserve">in the nine months ended March 28, 2025 </w:t>
      </w:r>
      <w:r>
        <w:rPr>
          <w:rFonts w:ascii="Times New Roman;sans-serif" w:hAnsi="Times New Roman;sans-serif"/>
          <w:b w:val="false"/>
          <w:color w:val="000000"/>
          <w:sz w:val="20"/>
        </w:rPr>
        <w:t>from the comparable period in the prior year</w:t>
      </w:r>
      <w:r>
        <w:rPr>
          <w:color w:val="000000"/>
          <w:shd w:fill="FFFFFF" w:val="clear"/>
        </w:rPr>
        <w:t xml:space="preserve"> </w:t>
      </w:r>
      <w:r>
        <w:rPr>
          <w:rFonts w:ascii="Times New Roman;sans-serif" w:hAnsi="Times New Roman;sans-serif"/>
          <w:b w:val="false"/>
          <w:color w:val="000000"/>
          <w:sz w:val="20"/>
          <w:shd w:fill="FFFFFF" w:val="clear"/>
        </w:rPr>
        <w:t xml:space="preserve">primarily due to a 17% increase in ASP per gigabyte </w:t>
      </w:r>
      <w:r>
        <w:rPr>
          <w:rFonts w:ascii="Times New Roman;sans-serif" w:hAnsi="Times New Roman;sans-serif"/>
          <w:b w:val="false"/>
          <w:color w:val="000000"/>
          <w:sz w:val="20"/>
        </w:rPr>
        <w:t xml:space="preserve">due to improved pricing, </w:t>
      </w:r>
      <w:r>
        <w:rPr>
          <w:rFonts w:ascii="Times New Roman;sans-serif" w:hAnsi="Times New Roman;sans-serif"/>
          <w:b w:val="false"/>
          <w:color w:val="000000"/>
          <w:sz w:val="20"/>
          <w:shd w:fill="FFFFFF" w:val="clear"/>
        </w:rPr>
        <w:t xml:space="preserve">partially offset by a 15% decrease in exabytes sold mostly due to a decrease in demand.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Consumer revenue remained flat in the three months ended March 28, 2025</w:t>
      </w:r>
      <w:r>
        <w:rPr>
          <w:color w:val="000000"/>
        </w:rPr>
        <w:t xml:space="preserve"> </w:t>
      </w:r>
      <w:r>
        <w:rPr>
          <w:rFonts w:ascii="Times New Roman;sans-serif" w:hAnsi="Times New Roman;sans-serif"/>
          <w:b w:val="false"/>
          <w:color w:val="000000"/>
          <w:sz w:val="20"/>
        </w:rPr>
        <w:t>compared to the comparable period in the prior year, primarily due to a 15% increase in exabytes sold, offset by a 15% decrease in ASP per gigabyte due to pricing pressure.</w:t>
      </w:r>
      <w:r>
        <w:rPr>
          <w:color w:val="000000"/>
          <w:shd w:fill="FFFFFF" w:val="clear"/>
        </w:rPr>
        <w:t xml:space="preserve"> </w:t>
      </w:r>
      <w:r>
        <w:rPr>
          <w:rFonts w:ascii="Times New Roman;sans-serif" w:hAnsi="Times New Roman;sans-serif"/>
          <w:b w:val="false"/>
          <w:color w:val="000000"/>
          <w:sz w:val="20"/>
          <w:shd w:fill="FFFFFF" w:val="clear"/>
        </w:rPr>
        <w:t xml:space="preserve">Consumer revenue </w:t>
      </w:r>
      <w:r>
        <w:rPr>
          <w:rFonts w:ascii="Times New Roman;sans-serif" w:hAnsi="Times New Roman;sans-serif"/>
          <w:b w:val="false"/>
          <w:color w:val="000000"/>
          <w:sz w:val="20"/>
        </w:rPr>
        <w:t>decreased 4%</w:t>
      </w:r>
      <w:r>
        <w:rPr>
          <w:color w:val="000000"/>
          <w:shd w:fill="FFFFFF" w:val="clear"/>
        </w:rPr>
        <w:t xml:space="preserve"> </w:t>
      </w:r>
      <w:r>
        <w:rPr>
          <w:rFonts w:ascii="Times New Roman;sans-serif" w:hAnsi="Times New Roman;sans-serif"/>
          <w:b w:val="false"/>
          <w:color w:val="000000"/>
          <w:sz w:val="20"/>
          <w:shd w:fill="FFFFFF" w:val="clear"/>
        </w:rPr>
        <w:t xml:space="preserve">in the nine months ended March 28, 2025 </w:t>
      </w:r>
      <w:r>
        <w:rPr>
          <w:rFonts w:ascii="Times New Roman;sans-serif" w:hAnsi="Times New Roman;sans-serif"/>
          <w:b w:val="false"/>
          <w:color w:val="000000"/>
          <w:sz w:val="20"/>
        </w:rPr>
        <w:t>from the comparable period in the prior year,</w:t>
      </w:r>
      <w:r>
        <w:rPr>
          <w:color w:val="000000"/>
          <w:shd w:fill="FFFFFF" w:val="clear"/>
        </w:rPr>
        <w:t xml:space="preserve"> </w:t>
      </w:r>
      <w:r>
        <w:rPr>
          <w:rFonts w:ascii="Times New Roman;sans-serif" w:hAnsi="Times New Roman;sans-serif"/>
          <w:b w:val="false"/>
          <w:color w:val="000000"/>
          <w:sz w:val="20"/>
          <w:shd w:fill="FFFFFF" w:val="clear"/>
        </w:rPr>
        <w:t>primarily due to a 4% decrease in ASP per gigabyte and 1% decrease in exabytes sold.</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The changes in net revenue by geography in the </w:t>
      </w:r>
      <w:r>
        <w:rPr>
          <w:rFonts w:ascii="Times New Roman;sans-serif" w:hAnsi="Times New Roman;sans-serif"/>
          <w:b w:val="false"/>
          <w:color w:val="000000"/>
          <w:sz w:val="20"/>
        </w:rPr>
        <w:t>three and nine months ended</w:t>
      </w:r>
      <w:r>
        <w:rPr>
          <w:color w:val="000000"/>
          <w:shd w:fill="FFFFFF" w:val="clear"/>
        </w:rPr>
        <w:t xml:space="preserve"> </w:t>
      </w:r>
      <w:r>
        <w:rPr>
          <w:rFonts w:ascii="Times New Roman;sans-serif" w:hAnsi="Times New Roman;sans-serif"/>
          <w:b w:val="false"/>
          <w:color w:val="000000"/>
          <w:sz w:val="20"/>
          <w:shd w:fill="FFFFFF" w:val="clear"/>
        </w:rPr>
        <w:t>March 28, 2025 from the comparable period in the prior year primarily reflected higher revenue in the Asia region from Client customers.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Consistent with standard industry practice, we offer sales incentive and marketing programs that provide customers with price protection and other incentives or reimbursements that are recorded as a reduction to gross revenue. For the three months ended March 28, 2025 and March 29, 2024, these programs represented 19% and </w:t>
      </w:r>
      <w:r>
        <w:rPr>
          <w:rFonts w:ascii="Times New Roman;sans-serif" w:hAnsi="Times New Roman;sans-serif"/>
          <w:b w:val="false"/>
          <w:color w:val="000000"/>
          <w:sz w:val="20"/>
        </w:rPr>
        <w:t xml:space="preserve">16%, respectively, </w:t>
      </w:r>
      <w:r>
        <w:rPr>
          <w:rFonts w:ascii="Times New Roman;sans-serif" w:hAnsi="Times New Roman;sans-serif"/>
          <w:b w:val="false"/>
          <w:color w:val="000000"/>
          <w:sz w:val="20"/>
          <w:shd w:fill="FFFFFF" w:val="clear"/>
        </w:rPr>
        <w:t>of gross revenues. For the nine months ended March 28, 2025 and March 29, 2024, these programs represented 19% and 21%,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Gross profit decreased $81 million for the three months ended March 28, 2025 from the comparable period in the prior year, primarily due to a decrease in revenue due to lower ASP, a $29 million increase in start-up costs related to the construction of our K2 facility, and a $24 millio</w:t>
      </w:r>
      <w:r>
        <w:rPr>
          <w:rFonts w:ascii="Times New Roman;sans-serif" w:hAnsi="Times New Roman;sans-serif"/>
          <w:b w:val="false"/>
          <w:color w:val="000000"/>
          <w:sz w:val="20"/>
        </w:rPr>
        <w:t xml:space="preserve">n charge as a result of the </w:t>
      </w:r>
      <w:r>
        <w:rPr>
          <w:rFonts w:ascii="Times New Roman;sans-serif" w:hAnsi="Times New Roman;sans-serif"/>
          <w:b w:val="false"/>
          <w:color w:val="000000"/>
          <w:sz w:val="20"/>
          <w:shd w:fill="FFFFFF" w:val="clear"/>
        </w:rPr>
        <w:t>reduced utilization of our manufacturing capacity not incurred in the comparable period in the prior year.</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Gross profit increased $1,278 million for the nine months ended March 28, 2025 from the comparable period in the prior year, primarily due to improved pricing, a favorable product mix, and a decrease in manufacturing underutilization charges incurred in the three months ended March 28, 2025 compared to the comparable prior year period, partially offset by a $36 million insurance recoveries received in the </w:t>
      </w:r>
      <w:r>
        <w:rPr>
          <w:rFonts w:ascii="Times New Roman;sans-serif" w:hAnsi="Times New Roman;sans-serif"/>
          <w:b w:val="false"/>
          <w:color w:val="000000"/>
          <w:sz w:val="20"/>
        </w:rPr>
        <w:t>nine months ended</w:t>
      </w:r>
      <w:r>
        <w:rPr>
          <w:color w:val="000000"/>
          <w:shd w:fill="FFFFFF" w:val="clear"/>
        </w:rPr>
        <w:t xml:space="preserve"> </w:t>
      </w:r>
      <w:r>
        <w:rPr>
          <w:rFonts w:ascii="Times New Roman;sans-serif" w:hAnsi="Times New Roman;sans-serif"/>
          <w:b w:val="false"/>
          <w:color w:val="000000"/>
          <w:sz w:val="20"/>
          <w:shd w:fill="FFFFFF" w:val="clear"/>
        </w:rPr>
        <w:t xml:space="preserve">March 29, 2024 for losses incurred due to a </w:t>
      </w:r>
      <w:r>
        <w:rPr>
          <w:rFonts w:ascii="Times New Roman;sans-serif" w:hAnsi="Times New Roman;sans-serif"/>
          <w:b w:val="false"/>
          <w:color w:val="000000"/>
          <w:sz w:val="20"/>
        </w:rPr>
        <w:t>contamination</w:t>
      </w:r>
      <w:r>
        <w:rPr>
          <w:color w:val="000000"/>
          <w:shd w:fill="FFFFFF" w:val="clear"/>
        </w:rPr>
        <w:t xml:space="preserve"> </w:t>
      </w:r>
      <w:r>
        <w:rPr>
          <w:rFonts w:ascii="Times New Roman;sans-serif" w:hAnsi="Times New Roman;sans-serif"/>
          <w:b w:val="false"/>
          <w:color w:val="000000"/>
          <w:sz w:val="20"/>
          <w:shd w:fill="FFFFFF" w:val="clear"/>
        </w:rPr>
        <w:t xml:space="preserve">incident in 2022. In the </w:t>
      </w:r>
      <w:r>
        <w:rPr>
          <w:rFonts w:ascii="Times New Roman;sans-serif" w:hAnsi="Times New Roman;sans-serif"/>
          <w:b w:val="false"/>
          <w:color w:val="000000"/>
          <w:sz w:val="20"/>
        </w:rPr>
        <w:t>nine months ended</w:t>
      </w:r>
      <w:r>
        <w:rPr>
          <w:color w:val="000000"/>
          <w:shd w:fill="FFFFFF" w:val="clear"/>
        </w:rPr>
        <w:t xml:space="preserve"> </w:t>
      </w:r>
      <w:r>
        <w:rPr>
          <w:rFonts w:ascii="Times New Roman;sans-serif" w:hAnsi="Times New Roman;sans-serif"/>
          <w:b w:val="false"/>
          <w:color w:val="000000"/>
          <w:sz w:val="20"/>
          <w:shd w:fill="FFFFFF" w:val="clear"/>
        </w:rPr>
        <w:t>March 29, 2024, we recognized a $249 million charge as a result of the reduced utilization of our manufacturing capacity as compared to an underutilization charge of $24 million incurred</w:t>
      </w:r>
      <w:r>
        <w:rPr>
          <w:color w:val="000000"/>
        </w:rPr>
        <w:t xml:space="preserve"> </w:t>
      </w:r>
      <w:r>
        <w:rPr>
          <w:rFonts w:ascii="Times New Roman;sans-serif" w:hAnsi="Times New Roman;sans-serif"/>
          <w:b w:val="false"/>
          <w:color w:val="000000"/>
          <w:sz w:val="20"/>
        </w:rPr>
        <w:t xml:space="preserve">in the </w:t>
      </w:r>
      <w:r>
        <w:rPr>
          <w:rFonts w:ascii="Times New Roman;sans-serif" w:hAnsi="Times New Roman;sans-serif"/>
          <w:b w:val="false"/>
          <w:color w:val="000000"/>
          <w:sz w:val="20"/>
          <w:shd w:fill="FFFFFF" w:val="clear"/>
        </w:rPr>
        <w:t>three months ended</w:t>
      </w:r>
      <w:r>
        <w:rPr>
          <w:color w:val="000000"/>
        </w:rPr>
        <w:t xml:space="preserve"> </w:t>
      </w:r>
      <w:r>
        <w:rPr>
          <w:rFonts w:ascii="Times New Roman;sans-serif" w:hAnsi="Times New Roman;sans-serif"/>
          <w:b w:val="false"/>
          <w:color w:val="000000"/>
          <w:sz w:val="20"/>
          <w:shd w:fill="FFFFFF" w:val="clear"/>
        </w:rPr>
        <w:t>March 28, 2025.</w:t>
      </w:r>
      <w:r>
        <w:rPr>
          <w:color w:val="000000"/>
        </w:rPr>
        <w:t xml:space="preserve"> </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Gross profit margin decreased by 5% for the three months ended March 28, 2025 from the comparable period in the prior year, primarily due to a decline in revenue and a charge as a result of the reduced utilization of our manufacturing capacity for which a similar charge was not incurred in the comparable period in the prior year.</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Gross profit margin </w:t>
      </w:r>
      <w:r>
        <w:rPr>
          <w:rFonts w:ascii="Times New Roman;sans-serif" w:hAnsi="Times New Roman;sans-serif"/>
          <w:b w:val="false"/>
          <w:color w:val="000000"/>
          <w:sz w:val="20"/>
        </w:rPr>
        <w:t>increased</w:t>
      </w:r>
      <w:r>
        <w:rPr>
          <w:color w:val="000000"/>
          <w:shd w:fill="FFFFFF" w:val="clear"/>
        </w:rPr>
        <w:t xml:space="preserve"> </w:t>
      </w:r>
      <w:r>
        <w:rPr>
          <w:rFonts w:ascii="Times New Roman;sans-serif" w:hAnsi="Times New Roman;sans-serif"/>
          <w:b w:val="false"/>
          <w:color w:val="000000"/>
          <w:sz w:val="20"/>
          <w:shd w:fill="FFFFFF" w:val="clear"/>
        </w:rPr>
        <w:t>by 23% for the nine months ended March 28, 2025 from the comparable period in the prior year, primarily due to improved pricing, a favorable product mix, and a prior year charge as a result of the reduced utilization of our manufacturing capacity</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Operating Expenses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Research and development (“R&amp;D”) expenses increased $8 million in the three months ended March 28, 2025 from the comparable period in the prior year,</w:t>
      </w:r>
      <w:r>
        <w:rPr>
          <w:color w:val="000000"/>
          <w:shd w:fill="FFFFFF" w:val="clear"/>
        </w:rPr>
        <w:t xml:space="preserve"> </w:t>
      </w:r>
      <w:r>
        <w:rPr>
          <w:rFonts w:ascii="Times New Roman;sans-serif" w:hAnsi="Times New Roman;sans-serif"/>
          <w:b w:val="false"/>
          <w:color w:val="000000"/>
          <w:sz w:val="20"/>
          <w:shd w:fill="FFFFFF" w:val="clear"/>
        </w:rPr>
        <w:t xml:space="preserve">primarily due to a $4 million increase in material purchases and a $4 million increase in spending for R&amp;D projects as we continue to invest in innovation. </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R&amp;D expenses increased $84 million in the nine months ended March 28, 2025 from the comparable period in the prior year, primarily due to a $46 million increase in compensation and benefits due to higher variable compensation, including short-term incentives, which were not incurred in the comparable period in the prior year, and increased headcount, a $20 million increase in material purchases, a $13 million increase in spending for R&amp;D projects, and a $5 million increase in Flash Venture R&amp;D commitments as we continue to invest in innovation.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Selling, general and administrative expenses increased $32 million in the three months ended March 28, 2025 from the comparable period in the prior year, primarily due to a $25 million increase in compensation and benefits mainly due to higher headcount and higher variable compensation, including short-term incentives and separation bonuses, and a $8 million increase in rent expense, primarily due to new leases entered in connection with the separation from WDC</w:t>
      </w:r>
      <w:r>
        <w:rPr>
          <w:rFonts w:ascii="Times New Roman;sans-serif" w:hAnsi="Times New Roman;sans-serif"/>
          <w:b w:val="false"/>
          <w:color w:val="000000"/>
          <w:sz w:val="20"/>
        </w:rPr>
        <w:t xml:space="preserve">.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Selling, general and administrative expenses increased $73 million in the nine months ended March 28, 2025 from the comparable period in the prior year, primarily due to a $52 million increase in compensation and benefits due to higher variable compensation, including short-term incentives, which were not incurred in the comparable period in the prior year, and increased headcount, a $24 million increase in legal and outside service fees, a $9 million</w:t>
      </w:r>
      <w:r>
        <w:rPr>
          <w:color w:val="000000"/>
        </w:rPr>
        <w:t xml:space="preserve"> </w:t>
      </w:r>
      <w:r>
        <w:rPr>
          <w:rFonts w:ascii="Times New Roman;sans-serif" w:hAnsi="Times New Roman;sans-serif"/>
          <w:b w:val="false"/>
          <w:color w:val="000000"/>
          <w:sz w:val="20"/>
        </w:rPr>
        <w:t xml:space="preserve">increase in sales and marketing expenses, a </w:t>
      </w:r>
      <w:r>
        <w:rPr>
          <w:rFonts w:ascii="Times New Roman;sans-serif" w:hAnsi="Times New Roman;sans-serif"/>
          <w:b w:val="false"/>
          <w:color w:val="000000"/>
          <w:sz w:val="20"/>
          <w:shd w:fill="FFFFFF" w:val="clear"/>
        </w:rPr>
        <w:t>$8 million</w:t>
      </w:r>
      <w:r>
        <w:rPr>
          <w:color w:val="000000"/>
        </w:rPr>
        <w:t xml:space="preserve"> </w:t>
      </w:r>
      <w:r>
        <w:rPr>
          <w:rFonts w:ascii="Times New Roman;sans-serif" w:hAnsi="Times New Roman;sans-serif"/>
          <w:b w:val="false"/>
          <w:color w:val="000000"/>
          <w:sz w:val="20"/>
        </w:rPr>
        <w:t xml:space="preserve">increase </w:t>
      </w:r>
      <w:r>
        <w:rPr>
          <w:rFonts w:ascii="Times New Roman;sans-serif" w:hAnsi="Times New Roman;sans-serif"/>
          <w:b w:val="false"/>
          <w:color w:val="000000"/>
          <w:sz w:val="20"/>
          <w:shd w:fill="FFFFFF" w:val="clear"/>
        </w:rPr>
        <w:t>in rent expense, primarily due to new leases entered in connection with the separation from WDC,</w:t>
      </w:r>
      <w:r>
        <w:rPr>
          <w:color w:val="000000"/>
        </w:rPr>
        <w:t xml:space="preserve"> </w:t>
      </w:r>
      <w:r>
        <w:rPr>
          <w:rFonts w:ascii="Times New Roman;sans-serif" w:hAnsi="Times New Roman;sans-serif"/>
          <w:b w:val="false"/>
          <w:color w:val="000000"/>
          <w:sz w:val="20"/>
          <w:shd w:fill="FFFFFF" w:val="clear"/>
        </w:rPr>
        <w:t>partially offset by a $20 million</w:t>
      </w:r>
      <w:r>
        <w:rPr>
          <w:color w:val="000000"/>
        </w:rPr>
        <w:t xml:space="preserve"> </w:t>
      </w:r>
      <w:r>
        <w:rPr>
          <w:rFonts w:ascii="Times New Roman;sans-serif" w:hAnsi="Times New Roman;sans-serif"/>
          <w:b w:val="false"/>
          <w:color w:val="000000"/>
          <w:sz w:val="20"/>
        </w:rPr>
        <w:t xml:space="preserve">decrease in strategic review costs.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termination and other charges decreased $2 million in the three months ended March 28, 2025 from the comparable period in the prior year, as there were no restructuring actions taken in the current period.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Employee termination and other charges increased $49 million in the nine months ended March 28, 2025 from the comparable period in the prior year, primarily due to a $60 million gain on the sale-leaseback of a facility in the prior period, partially offset by a $11 million decrease in employee termination costs as a result of fewer restructuring actions taken in the current period. For additional information regarding employee termination and other charges, see Part I, Item 1, Note 15, </w:t>
      </w:r>
      <w:r>
        <w:rPr>
          <w:rFonts w:ascii="Times New Roman;sans-serif" w:hAnsi="Times New Roman;sans-serif"/>
          <w:b w:val="false"/>
          <w:i/>
          <w:color w:val="000000"/>
          <w:sz w:val="20"/>
        </w:rPr>
        <w:t>Employee Termination and Other Charges</w:t>
      </w:r>
      <w:r>
        <w:rPr>
          <w:color w:val="000000"/>
        </w:rPr>
        <w:t xml:space="preserve"> </w:t>
      </w:r>
      <w:r>
        <w:rPr>
          <w:rFonts w:ascii="Times New Roman;sans-serif" w:hAnsi="Times New Roman;sans-serif"/>
          <w:b w:val="false"/>
          <w:color w:val="000000"/>
          <w:sz w:val="20"/>
        </w:rPr>
        <w:t xml:space="preserve">of the Notes to Condensed Consolidated Financial Statements included in this Quarterly Report on Form 10-Q,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Goodwill impairment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Goodwill impairment increased $1.8 billion</w:t>
      </w:r>
      <w:r>
        <w:rPr>
          <w:color w:val="000000"/>
          <w:shd w:fill="FFFFFF" w:val="clear"/>
        </w:rPr>
        <w:t xml:space="preserve"> </w:t>
      </w:r>
      <w:r>
        <w:rPr>
          <w:rFonts w:ascii="Times New Roman;sans-serif" w:hAnsi="Times New Roman;sans-serif"/>
          <w:b w:val="false"/>
          <w:color w:val="000000"/>
          <w:sz w:val="20"/>
          <w:shd w:fill="FFFFFF" w:val="clear"/>
        </w:rPr>
        <w:t xml:space="preserve">in the </w:t>
      </w:r>
      <w:r>
        <w:rPr>
          <w:rFonts w:ascii="Times New Roman;sans-serif" w:hAnsi="Times New Roman;sans-serif"/>
          <w:b w:val="false"/>
          <w:color w:val="000000"/>
          <w:sz w:val="20"/>
        </w:rPr>
        <w:t>three and nine months ended</w:t>
      </w:r>
      <w:r>
        <w:rPr>
          <w:color w:val="000000"/>
          <w:shd w:fill="FFFFFF" w:val="clear"/>
        </w:rPr>
        <w:t xml:space="preserve"> </w:t>
      </w:r>
      <w:r>
        <w:rPr>
          <w:rFonts w:ascii="Times New Roman;sans-serif" w:hAnsi="Times New Roman;sans-serif"/>
          <w:b w:val="false"/>
          <w:color w:val="000000"/>
          <w:sz w:val="20"/>
        </w:rPr>
        <w:t>March 28, 2025</w:t>
      </w:r>
      <w:r>
        <w:rPr>
          <w:color w:val="000000"/>
          <w:shd w:fill="FFFFFF" w:val="clear"/>
        </w:rPr>
        <w:t xml:space="preserve"> </w:t>
      </w:r>
      <w:r>
        <w:rPr>
          <w:rFonts w:ascii="Times New Roman;sans-serif" w:hAnsi="Times New Roman;sans-serif"/>
          <w:b w:val="false"/>
          <w:color w:val="000000"/>
          <w:sz w:val="20"/>
          <w:shd w:fill="FFFFFF" w:val="clear"/>
        </w:rPr>
        <w:t>from</w:t>
      </w:r>
      <w:r>
        <w:rPr>
          <w:color w:val="000000"/>
        </w:rPr>
        <w:t xml:space="preserve"> </w:t>
      </w:r>
      <w:r>
        <w:rPr>
          <w:rFonts w:ascii="Times New Roman;sans-serif" w:hAnsi="Times New Roman;sans-serif"/>
          <w:b w:val="false"/>
          <w:color w:val="000000"/>
          <w:sz w:val="20"/>
        </w:rPr>
        <w:t>the comparable period in the prior year due to an impairment charge resulting from the difference between the carrying value of our reporting unit and its fair value.</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 xml:space="preserve">Business separation costs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Business separation costs decreased $3 million in the three months ended March 28, 2025 from the comparable period in the prior year, primarily due to completion of the separation from WDC.</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Business separation costs increased $4 million in the nine months ended March 28, 2025 from the comparable period in the prior year, primary due to an increase in outside service fees to support the execution of the separation from WDC.</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Gain on business divestiture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Gain on business divestiture increased $34 million in the nine months ended March 28, 2025 from the comparable period in the prior year due to the pre-tax gain on the sale of SDSS.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Interest and Other Expense, net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Interest and other expense, net increased $9 million in the three months ended March 28, 2025 from the comparable period in the prior year</w:t>
      </w:r>
      <w:r>
        <w:rPr>
          <w:rFonts w:ascii="Times New Roman;sans-serif" w:hAnsi="Times New Roman;sans-serif"/>
          <w:b w:val="false"/>
          <w:color w:val="000000"/>
          <w:sz w:val="20"/>
        </w:rPr>
        <w:t xml:space="preserve">, primarily due to a $15 million increase in interest expense from our Term Loan Facility and a $3 million increase in losses on our equity investments, partially offset by a $7 million decrease in interest expense on borrowings due to WDC and a $2 million increase in interest income arising from the accretion of the present value discount on the outstanding SDSS consideration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expense, net increased $33 million in the nine months ended March 28, 2025 from the comparable period in the prior year, primarily due to a $26 million increase in foreign exchange losses, a $23 million increase in losses on our equity investments, and a $15 million increase in interest expense from our Term Loan Facility, partially offset by a $21 million decrease in interest expense on borrowings due to WDC, a $6 million increase in interest income arising from the accretion of the present value discount on the outstanding SDSS consideration receivable and a $5 million increase in other income due to an increase in available cash.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was signed into law,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We do not expect to be subject to the CAMT of 15% for fiscal year 2025 as our average annual AFSI did not exceed $1.0 billion for the preceding three-year period.</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20, 2021, the Organization for Economic Co-operation and Development G20 Inclusive Framework on Base Erosion and Profit Shifting released Model Global Anti-Base Erosion rules under Pillar Two (“Pillar Two”). Several non-U.S. jurisdictions have either enacted legislation or announced their intention to enact future legislation to adopt certain or all components of Pillar Two, some of which are effective for the Company in fiscal year 2025. For fiscal year 2025, we currently expect to be able to meet certain transitional safe harbors and do not expect any material Pillar Two taxes. As more jurisdictions adopt this legislation in fiscal year 2026, there may be material increases in our future tax obligations in certain jurisdictions.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Income tax expense and the effective tax rate:</w:t>
      </w:r>
    </w:p>
    <w:tbl>
      <w:tblPr>
        <w:tblW w:w="7526" w:type="dxa"/>
        <w:jc w:val="left"/>
        <w:tblInd w:w="0" w:type="dxa"/>
        <w:tblLayout w:type="fixed"/>
        <w:tblCellMar>
          <w:top w:w="28" w:type="dxa"/>
          <w:left w:w="28" w:type="dxa"/>
          <w:bottom w:w="28" w:type="dxa"/>
          <w:right w:w="28" w:type="dxa"/>
        </w:tblCellMar>
      </w:tblPr>
      <w:tblGrid>
        <w:gridCol w:w="723"/>
        <w:gridCol w:w="633"/>
        <w:gridCol w:w="639"/>
        <w:gridCol w:w="233"/>
        <w:gridCol w:w="752"/>
        <w:gridCol w:w="305"/>
        <w:gridCol w:w="323"/>
        <w:gridCol w:w="545"/>
        <w:gridCol w:w="422"/>
        <w:gridCol w:w="109"/>
        <w:gridCol w:w="109"/>
        <w:gridCol w:w="109"/>
        <w:gridCol w:w="233"/>
        <w:gridCol w:w="752"/>
        <w:gridCol w:w="305"/>
        <w:gridCol w:w="263"/>
        <w:gridCol w:w="667"/>
        <w:gridCol w:w="404"/>
      </w:tblGrid>
      <w:tr>
        <w:trPr/>
        <w:tc>
          <w:tcPr>
            <w:tcW w:w="7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 2025</w:t>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 2025</w:t>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9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relative mix of earnings and losses by jurisdiction, the goodwill impairment, the deduction for foreign-derived intangible income, credits and tax holidays in Malaysia that will expire at various dates during years 2028 through 2031 resulted in decreases to the effective tax rate below the U.S. statutory rate for the three and nine months ended March 28, 2025.</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For additional information regarding income tax expense, see Part I, Item 1, Note 14, </w:t>
      </w: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 xml:space="preserve">of the Notes to the Condensed Consolidated Financial Statements included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Financial condition, liquidity and capital resources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Condensed Consolidated Statements of Cash Flows of March 28, 2025 and March 29, 2024: </w:t>
      </w:r>
    </w:p>
    <w:tbl>
      <w:tblPr>
        <w:tblW w:w="5981" w:type="dxa"/>
        <w:jc w:val="left"/>
        <w:tblInd w:w="0" w:type="dxa"/>
        <w:tblLayout w:type="fixed"/>
        <w:tblCellMar>
          <w:top w:w="28" w:type="dxa"/>
          <w:left w:w="28" w:type="dxa"/>
          <w:bottom w:w="28" w:type="dxa"/>
          <w:right w:w="28" w:type="dxa"/>
        </w:tblCellMar>
      </w:tblPr>
      <w:tblGrid>
        <w:gridCol w:w="1098"/>
        <w:gridCol w:w="964"/>
        <w:gridCol w:w="968"/>
        <w:gridCol w:w="293"/>
        <w:gridCol w:w="833"/>
        <w:gridCol w:w="163"/>
        <w:gridCol w:w="109"/>
        <w:gridCol w:w="109"/>
        <w:gridCol w:w="109"/>
        <w:gridCol w:w="309"/>
        <w:gridCol w:w="783"/>
        <w:gridCol w:w="243"/>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ans-serif" w:hAnsi="Times New Roman;sans-serif"/>
          <w:b w:val="false"/>
          <w:color w:val="000000"/>
          <w:sz w:val="20"/>
        </w:rPr>
        <w:t>As noted previously, we have been scaling back on capital expenditures, consolidating production lines and reducing bit growth to align with market demand</w:t>
      </w:r>
      <w:r>
        <w:rPr>
          <w:rFonts w:ascii="Times New Roman;sans-serif" w:hAnsi="Times New Roman;sans-serif"/>
          <w:b w:val="false"/>
          <w:color w:val="000000"/>
          <w:sz w:val="20"/>
          <w:shd w:fill="FFFFFF" w:val="clear"/>
        </w:rPr>
        <w:t>. We continue to be cautious in our capital investment and expect our cash capital expenditures in fiscal 2025 to be higher than in fiscal 2024, but remain below our fiscal 2023 expenditures.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We believe our cash and cash equivalents will be sufficient to meet our working capital needs for at least the next twelve months and for the foreseeable future thereafter. We believe we can also access the various capital markets to further supplement our liquidity position if necessary. Our ability to sustain our working capital position is subject to a number of risks that we discuss </w:t>
      </w:r>
      <w:r>
        <w:rPr>
          <w:rFonts w:ascii="Times New Roman;sans-serif" w:hAnsi="Times New Roman;sans-serif"/>
          <w:b w:val="false"/>
          <w:color w:val="000000"/>
          <w:sz w:val="20"/>
        </w:rPr>
        <w:t>under the heading “Risk Factors” included in the Form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A total of $1.1 billion and $321 million of our cash and cash equivalents were held outside of the U.S. as of March 28, 2025 and </w:t>
      </w:r>
      <w:r>
        <w:rPr>
          <w:rFonts w:ascii="Times New Roman;sans-serif" w:hAnsi="Times New Roman;sans-serif"/>
          <w:b w:val="false"/>
          <w:color w:val="000000"/>
          <w:sz w:val="20"/>
        </w:rPr>
        <w:t>June 28, 2024</w:t>
      </w:r>
      <w:r>
        <w:rPr>
          <w:color w:val="000000"/>
          <w:shd w:fill="FFFFFF" w:val="clear"/>
        </w:rPr>
        <w:t xml:space="preserve"> </w:t>
      </w:r>
      <w:r>
        <w:rPr>
          <w:rFonts w:ascii="Times New Roman;sans-serif" w:hAnsi="Times New Roman;sans-serif"/>
          <w:b w:val="false"/>
          <w:color w:val="000000"/>
          <w:sz w:val="20"/>
          <w:shd w:fill="FFFFFF" w:val="clear"/>
        </w:rPr>
        <w:t xml:space="preserve">respectively. There are no material tax consequences that were not previously accrued for the repatriation of this cash.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primarily consists of net income or loss, adjusted for non-cash charges, plus or minus changes in operating assets and liabilities. Net cash used as a result of changes in operating assets and liabilities was $436 million in the nine months ended March 28, 2025, as compared to $267 million net cash provided in the nine months ended March 29, 2024, reflecting an increase in the volume of our business, as discussed above.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our operating assets and liabilities are largely affected by our working capital requirements, which are dependent on the volume of our business and the effective management of our cash conversion cycle as well as timing of payments for taxes. Our cash conversion cycle measures how quickly we can convert our products into cash through sales. The cash conversion cycles were as follows (in days):</w:t>
      </w:r>
    </w:p>
    <w:tbl>
      <w:tblPr>
        <w:tblW w:w="5147" w:type="dxa"/>
        <w:jc w:val="left"/>
        <w:tblInd w:w="0" w:type="dxa"/>
        <w:tblLayout w:type="fixed"/>
        <w:tblCellMar>
          <w:top w:w="28" w:type="dxa"/>
          <w:left w:w="28" w:type="dxa"/>
          <w:bottom w:w="28" w:type="dxa"/>
          <w:right w:w="28" w:type="dxa"/>
        </w:tblCellMar>
      </w:tblPr>
      <w:tblGrid>
        <w:gridCol w:w="705"/>
        <w:gridCol w:w="620"/>
        <w:gridCol w:w="625"/>
        <w:gridCol w:w="429"/>
        <w:gridCol w:w="429"/>
        <w:gridCol w:w="431"/>
        <w:gridCol w:w="191"/>
        <w:gridCol w:w="191"/>
        <w:gridCol w:w="191"/>
        <w:gridCol w:w="390"/>
        <w:gridCol w:w="390"/>
        <w:gridCol w:w="555"/>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28, 2025</w:t>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2024</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Days sales outstanding</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Days in inventory</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Days payable outstanding</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conversion cycle</w:t>
            </w:r>
          </w:p>
        </w:tc>
        <w:tc>
          <w:tcPr>
            <w:tcW w:w="8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days sales outstanding, or DSO, are generally due to the timing of shipments. Changes in days in inventory, or DIO, are generally related to the timing of inventory builds. Changes in days payables outstanding, or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payment term modifications through negotiations with our vendors or by granting to, or receiving from, our vendors’ payment term accommodations.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28, 2025, DSO increased 10 days over the three months ended March 29, 2024, reflecting lower accounts receivable factoring and the timing of shipments and customer collections. During the three months ended March 28, 2025, DIO increased 23 days over the three months ended March 29, 2024, primarily reflecting lower consumption of inventory in the current period. DPO increased 2 days over the comparable period in the prior year, primarily due to routine variations in the timing of purchases and payments during the period.</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in the nine months ended March 28, 2025 primarily consisted of $401 million in net proceeds from our sale of a majority interest in one of our subsidiaries and $330 million in net proceeds from activity related to Flash Ventures, partially offset by $159 million in capital expenditures. Net cash provided by investing activities in the nine months ended March 29, 2024 primarily consisted of $134 million of proceeds from the sale-leaseback of our Milpitas, California facility and $207 million in net proceeds from activity related to Flash Ventures, partially offset by $128 million in capital expenditures.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in the nine months ended March 28, 2025 primarily consisted of $1,970 million in proceeds from borrowings from the Term Loan Facility, $550 million proceeds from borrowings on notes due to WDC, and $101 million proceeds from principal repayments on notes due from WDC, partially offset by $1,887 million transferred to WDC, $76 million in net repayments on notes due to WDC and $32 million debt issuance discount. Net cash provided by financing activities in the nine months ended March 29, 2024 primarily consisted of $340 million net transfers from WDC, partially offset by $187 million in origination of notes due from WDC and $102 million in net repayments on notes due to WDC.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Other than the Flash Ventures and SDSS-related commitments incurred in the normal course of business</w:t>
      </w:r>
      <w:r>
        <w:rPr>
          <w:color w:val="EE2724"/>
        </w:rPr>
        <w:t xml:space="preserve"> </w:t>
      </w:r>
      <w:r>
        <w:rPr>
          <w:rFonts w:ascii="Times New Roman;sans-serif" w:hAnsi="Times New Roman;sans-serif"/>
          <w:b w:val="false"/>
          <w:color w:val="000000"/>
          <w:sz w:val="20"/>
        </w:rPr>
        <w:t xml:space="preserve">and certain indemnification provisions (see “Short-and-Long-term Liquidity - Purchase Obligations and Other Commitments” below), we do not have any other material off-balance sheet financing arrangements or liabilities, guarantee contracts, retained or contingent interests in transferred assets, or any other obligations arising out of a material variable interest in an unconsolidated entity. We do not have any majority-owned subsidiaries that are not included in the Condensed Consolidated Financial Statements. Additionally, with the exception of Flash Ventures, the SDSS Venture and the Unis Venture, we do not have an interest in, or relationships with, any variable interest entities. For additional information regarding our off-balance sheet arrangements, see Part I, Item I, Note 10, </w:t>
      </w:r>
      <w:r>
        <w:rPr>
          <w:rFonts w:ascii="Times New Roman;sans-serif" w:hAnsi="Times New Roman;sans-serif"/>
          <w:b w:val="false"/>
          <w:i/>
          <w:color w:val="000000"/>
          <w:sz w:val="20"/>
        </w:rPr>
        <w:t>Related Parties and Related Commitments and Contingencies</w:t>
      </w:r>
      <w:r>
        <w:rPr>
          <w:color w:val="000000"/>
        </w:rPr>
        <w:t xml:space="preserve"> </w:t>
      </w:r>
      <w:r>
        <w:rPr>
          <w:rFonts w:ascii="Times New Roman;sans-serif" w:hAnsi="Times New Roman;sans-serif"/>
          <w:b w:val="false"/>
          <w:color w:val="000000"/>
          <w:sz w:val="20"/>
        </w:rPr>
        <w:t xml:space="preserve">of the Notes to the Condensed Consolidated Financial Statements included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Short-and-Long-term Liquidity</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 as of March 28, 2025</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known material cash requirements, including those for capital expenditures, as of March 28, 2025:</w:t>
      </w:r>
    </w:p>
    <w:tbl>
      <w:tblPr>
        <w:tblW w:w="10205" w:type="dxa"/>
        <w:jc w:val="left"/>
        <w:tblInd w:w="0" w:type="dxa"/>
        <w:tblLayout w:type="fixed"/>
        <w:tblCellMar>
          <w:top w:w="28" w:type="dxa"/>
          <w:left w:w="28" w:type="dxa"/>
          <w:bottom w:w="28" w:type="dxa"/>
          <w:right w:w="28" w:type="dxa"/>
        </w:tblCellMar>
      </w:tblPr>
      <w:tblGrid>
        <w:gridCol w:w="829"/>
        <w:gridCol w:w="609"/>
        <w:gridCol w:w="614"/>
        <w:gridCol w:w="196"/>
        <w:gridCol w:w="646"/>
        <w:gridCol w:w="109"/>
        <w:gridCol w:w="109"/>
        <w:gridCol w:w="109"/>
        <w:gridCol w:w="109"/>
        <w:gridCol w:w="378"/>
        <w:gridCol w:w="1075"/>
        <w:gridCol w:w="212"/>
        <w:gridCol w:w="109"/>
        <w:gridCol w:w="109"/>
        <w:gridCol w:w="109"/>
        <w:gridCol w:w="287"/>
        <w:gridCol w:w="814"/>
        <w:gridCol w:w="159"/>
        <w:gridCol w:w="109"/>
        <w:gridCol w:w="109"/>
        <w:gridCol w:w="109"/>
        <w:gridCol w:w="287"/>
        <w:gridCol w:w="814"/>
        <w:gridCol w:w="159"/>
        <w:gridCol w:w="109"/>
        <w:gridCol w:w="109"/>
        <w:gridCol w:w="109"/>
        <w:gridCol w:w="368"/>
        <w:gridCol w:w="1045"/>
        <w:gridCol w:w="296"/>
      </w:tblGrid>
      <w:tr>
        <w:trPr/>
        <w:tc>
          <w:tcPr>
            <w:tcW w:w="8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three months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2-3 Years (2026-2027)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 Years (2028-2029)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 (Beyond 2029)</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Long-term debt, including current portion </w:t>
            </w:r>
            <w:r>
              <w:rPr>
                <w:rFonts w:ascii="Times New Roman;sans-serif" w:hAnsi="Times New Roman;sans-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Flash Ventures related commitments</w:t>
            </w:r>
            <w:r>
              <w:rPr>
                <w:rFonts w:ascii="Times New Roman;sans-serif" w:hAnsi="Times New Roman;sans-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 and other commitments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Principal portion of debt, excluding issuance costs. </w:t>
      </w:r>
    </w:p>
    <w:p>
      <w:pPr>
        <w:pStyle w:val="TextBody"/>
        <w:bidi w:val="0"/>
        <w:spacing w:lineRule="auto" w:line="288" w:before="0" w:after="12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reimbursement for depreciation and lease payments on owned and committed equipment, funding commitments for loans and equity investments and payments for other committed expenses, including research and development and building depreciation. Funding commitments assume no additional operating lease guarantees. Additional operating lease guarantees can reduce funding commitments.</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In connection with the separation, on </w:t>
      </w:r>
      <w:r>
        <w:rPr>
          <w:rFonts w:ascii="Times New Roman;sans-serif" w:hAnsi="Times New Roman;sans-serif"/>
          <w:b w:val="false"/>
          <w:color w:val="000000"/>
          <w:sz w:val="20"/>
          <w:shd w:fill="FFFFFF" w:val="clear"/>
        </w:rPr>
        <w:t>February 21, 2025</w:t>
      </w:r>
      <w:r>
        <w:rPr>
          <w:rFonts w:ascii="Times New Roman;sans-serif" w:hAnsi="Times New Roman;sans-serif"/>
          <w:b w:val="false"/>
          <w:color w:val="000000"/>
          <w:sz w:val="20"/>
        </w:rPr>
        <w:t>, the Company entered into a loan agreement comprised of a $1.5 billion revolving credit facility, which was undrawn at the separation date, and a $2 billion term loan facility due in 2032. The Company used a portion of the proceeds received from the term loan facility, as well as cash on hand, to make a net distribution payment of $1.5 billion</w:t>
      </w:r>
      <w:r>
        <w:rPr>
          <w:color w:val="000000"/>
          <w:shd w:fill="FFFFFF" w:val="clear"/>
        </w:rPr>
        <w:t xml:space="preserv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o WDC in exchange for assets, liabilities and certain legal entities of WDC associated with the Company.</w:t>
      </w:r>
    </w:p>
    <w:p>
      <w:pPr>
        <w:pStyle w:val="TextBody"/>
        <w:bidi w:val="0"/>
        <w:spacing w:lineRule="auto" w:line="288" w:before="0" w:after="120"/>
        <w:ind w:left="0" w:right="0" w:firstLine="54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28, 2025</w:t>
      </w:r>
      <w:r>
        <w:rPr>
          <w:rFonts w:ascii="Times New Roman;sans-serif" w:hAnsi="Times New Roman;sans-serif"/>
          <w:b w:val="false"/>
          <w:color w:val="000000"/>
          <w:sz w:val="20"/>
          <w:shd w:fill="FFFFFF" w:val="clear"/>
        </w:rPr>
        <w:t xml:space="preserve">, the Company was in compliance with the loan agreement financial covenant that requires the Company to </w:t>
      </w:r>
      <w:r>
        <w:rPr>
          <w:rFonts w:ascii="Times New Roman;sans-serif" w:hAnsi="Times New Roman;sans-serif"/>
          <w:b w:val="false"/>
          <w:color w:val="000000"/>
          <w:sz w:val="20"/>
        </w:rPr>
        <w:t>maintain a maximum Leverage Ratio.</w:t>
      </w:r>
      <w:r>
        <w:rPr>
          <w:color w:val="000000"/>
          <w:shd w:fill="FFFFFF" w:val="clear"/>
        </w:rPr>
        <w:t xml:space="preserve"> </w:t>
      </w:r>
      <w:r>
        <w:rPr>
          <w:rFonts w:ascii="Times New Roman;sans-serif" w:hAnsi="Times New Roman;sans-serif"/>
          <w:b w:val="false"/>
          <w:color w:val="000000"/>
          <w:sz w:val="20"/>
          <w:shd w:fill="FFFFFF" w:val="clear"/>
        </w:rPr>
        <w:t xml:space="preserve">Additional information regarding our indebtedness, including information about availability under our revolving credit facility and the principal repayment terms, interest rates, covenants, collateral and other key terms of our outstanding indebtedness, is included in Part I, Item I </w:t>
      </w:r>
      <w:r>
        <w:rPr>
          <w:rFonts w:ascii="Times New Roman;sans-serif" w:hAnsi="Times New Roman;sans-serif"/>
          <w:b w:val="false"/>
          <w:color w:val="000000"/>
          <w:sz w:val="20"/>
        </w:rPr>
        <w:t xml:space="preserve">Note 8, </w:t>
      </w:r>
      <w:r>
        <w:rPr>
          <w:rFonts w:ascii="Times New Roman;sans-serif" w:hAnsi="Times New Roman;sans-serif"/>
          <w:b w:val="false"/>
          <w:i/>
          <w:color w:val="000000"/>
          <w:sz w:val="20"/>
        </w:rPr>
        <w:t>Debt</w:t>
      </w:r>
      <w:r>
        <w:rPr>
          <w:color w:val="000000"/>
          <w:shd w:fill="FFFFFF" w:val="clear"/>
        </w:rPr>
        <w:t xml:space="preserve"> </w:t>
      </w:r>
      <w:r>
        <w:rPr>
          <w:rFonts w:ascii="Times New Roman;sans-serif" w:hAnsi="Times New Roman;sans-serif"/>
          <w:b w:val="false"/>
          <w:color w:val="000000"/>
          <w:sz w:val="20"/>
          <w:shd w:fill="FFFFFF" w:val="clear"/>
        </w:rPr>
        <w:t>of the Notes to Condensed Consolidated Financial Statements included in this Quarterly Report on Form 10-Q.</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Flash Ventures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March 28, 2025, and as of June 28, 2024, we were in compliance with all covenants under these Japanese lease facilities. See Part I, Item 1, Note 10,</w:t>
      </w:r>
      <w:r>
        <w:rPr>
          <w:color w:val="000000"/>
        </w:rPr>
        <w:t xml:space="preserve"> </w:t>
      </w:r>
      <w:r>
        <w:rPr>
          <w:rFonts w:ascii="Times New Roman;sans-serif" w:hAnsi="Times New Roman;sans-serif"/>
          <w:b w:val="false"/>
          <w:i/>
          <w:color w:val="000000"/>
          <w:sz w:val="20"/>
        </w:rPr>
        <w:t>Related Parties and Related Commitments and Contingencies</w:t>
      </w:r>
      <w:r>
        <w:rPr>
          <w:color w:val="000000"/>
        </w:rPr>
        <w:t xml:space="preserve"> </w:t>
      </w:r>
      <w:r>
        <w:rPr>
          <w:rFonts w:ascii="Times New Roman;sans-serif" w:hAnsi="Times New Roman;sans-serif"/>
          <w:b w:val="false"/>
          <w:color w:val="000000"/>
          <w:sz w:val="20"/>
        </w:rPr>
        <w:t>of the Notes to the Condensed Consolidated Financial Statements included in this Quarterly Report on Form 10-Q for information regarding Flash Ventures.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Purchase Obligations and Other Commitments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 xml:space="preserve">Unrecognized Tax Benefits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28, 2025, our liability for unrecognized tax benefits (excluding accrued interest and penalties) was approximately $127 million. Accrued interest and penalties included in the Company’s liability related to unrecognized tax benefits as of March 28, 2025 and June 28, 2024 was $4 million and $9 million, respectively. Of these amounts, approximately $131 million could result in potential cash payments.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Foreign Exchange Contracts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Quarterly Report on Form 10-Q for additional information.</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bidi w:val="0"/>
        <w:spacing w:lineRule="auto" w:line="288" w:before="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Concurrent with the separation, the Company and WDC entered into a Tax Matters Agreement under which the Company and WDC agreed to indemnify each other for 50% of certain tax positions. As a result of this agreement, the Company recorded a tax indemnification liability of $112 million on February 21, 2025, which was recognized as an adjustment to the Net investment from Western Digital Corporation. This liability was subsequently reduced by approximately $2 million, reflecting the outstanding balance as of March 28, 2025. The remaining tax indemnification liability of $110 million is classified as Other liabilities in the Condensed Consolidated Balance Sheets as of March 28, 2025.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sans-serif" w:hAnsi="Times New Roman;sans-serif"/>
          <w:b w:val="false"/>
          <w:i/>
          <w:color w:val="000000"/>
          <w:sz w:val="20"/>
        </w:rPr>
        <w:t xml:space="preserve">Recent Accounting Pronouncements </w:t>
      </w:r>
      <w:r>
        <w:rPr>
          <w:rFonts w:ascii="Times New Roman;sans-serif" w:hAnsi="Times New Roman;sans-serif"/>
          <w:b w:val="false"/>
          <w:color w:val="000000"/>
          <w:sz w:val="20"/>
        </w:rPr>
        <w:t>of the Notes to Condensed Consolidated Financial Statements included in this Quarterly Report on Form 10-Q.</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Condensed Consolidated Financial Statements in accordance with accounting principles generally accepted in the United States. The preparation of the financial statements requires the use of judgments and estimates that affect the reported amounts of revenues, expenses, assets, and liabilities. We have adopted accounting policies and practices that are generally accepted in the industry in which we operate. If these estimates differ significantly from actual results, the impact to the Condensed Consolidated Financial Statements may be material.</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discussed below, there have been no material changes in our critical accounting policies and estimates from those disclosed in our Registration Statement on Form 10, filed with the Securities and Exchange Commission for the year ended June 28, 2024.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 xml:space="preserve">Goodwill and Other Long-Lived Assets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attributed to the Company represents the amount by which the purchase price of businesses acquired in a business combination exceeded the estimated fair value of acquired net assets.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assessment to determine the amount of impairment.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required to use judgment when assessing goodwill for impairment, including evaluating the impact of industry and macroeconomic conditions and the determination of the fair value of the reporting unit. In addition, the estimates and assumptions used to determine the fair value as well as the actual carrying value may change based on future changes in the Company’s results of operations, macroeconomic conditions, or other factors. Changes in these estimates and assumptions could materially affect the Company’s assessment of the fair value and goodwill impairment. In addition, if negative macroeconomic conditions continue or worsen, goodwill could become impaired, which could result in an impairment charge and materially adversely affect the Company’s financial condition and results of operations.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completion of the separation, the Company identified potential impairment indicators related to macroeconomic indicators, industry developments, the trading price of the Company’s common stock and resulting market capitalization that warranted a quantitative impairment analysis of long-lived assets and goodwill.</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Subsequently, the Company performed a quantitative test, which indicated that the carrying value of our reporting unit exceeded its estimated fair value, resulting in the recognition of a $1.8 billion impairment charge as of, and for the period ended, March 28, 2025, which was recorded in the accompanying Condensed Consolidated Statements of Operations.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The tests for goodwill and long-lived asset impairment are further explained in Part I, Item 1, Note 5, </w:t>
      </w:r>
      <w:r>
        <w:rPr>
          <w:rFonts w:ascii="Times New Roman;sans-serif" w:hAnsi="Times New Roman;sans-serif"/>
          <w:b w:val="false"/>
          <w:i/>
          <w:color w:val="000000"/>
          <w:sz w:val="20"/>
        </w:rPr>
        <w:t>Supplemental Financial Statement Data</w:t>
      </w:r>
      <w:r>
        <w:rPr>
          <w:color w:val="000000"/>
        </w:rPr>
        <w:t xml:space="preserve"> </w:t>
      </w:r>
      <w:r>
        <w:rPr>
          <w:rFonts w:ascii="Times New Roman;sans-serif" w:hAnsi="Times New Roman;sans-serif"/>
          <w:b w:val="false"/>
          <w:color w:val="000000"/>
          <w:sz w:val="20"/>
        </w:rPr>
        <w:t xml:space="preserve">of the Notes to Condensed Consolidated Financial Statements included in this Quarterly Report on Form 10-Q.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Determining the fair value used in our impairment calculations involves using significant estimates and assumptions, including revenue forecasts, terminal growth rate, tax rate, and a weighted average cost of capital adjusted for company-specific risk. These estimates and assumptions are based on the most current information available to the Company, and there is no assurance that these estimates and assumptions will accurately predict future outcomes. If our assumptions are not realized, or if any of these assumptions change due to changes in economic conditions, the Company’s results of operations, or other factors, it is possible that an additional impairment charge may be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majority of our transactions are in U.S. dollars, some transactions are based in various foreign currencies. We have historically purchased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reduce the impact of foreign currency fluctuations on our results of operations. Substantially all of the contract maturity dates do not exceed twelve months. We do not purchase foreign exchange contracts for speculative or trading purposes.</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We have performed sensitivity analyses as of March 28, 2025,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March 28, 2025. The sensitivity analyses indicated that a hypothetical 10% adverse movement in </w:t>
      </w:r>
      <w:r>
        <w:rPr>
          <w:rFonts w:ascii="Times New Roman;sans-serif" w:hAnsi="Times New Roman;sans-serif"/>
          <w:b w:val="false"/>
          <w:color w:val="000000"/>
          <w:sz w:val="20"/>
          <w:shd w:fill="FFFFFF" w:val="clear"/>
        </w:rPr>
        <w:t xml:space="preserve">foreign currency exchange rates relative to the U.S. dollar would result in a foreign exchange fair value </w:t>
      </w:r>
      <w:r>
        <w:rPr>
          <w:rFonts w:ascii="Times New Roman;sans-serif" w:hAnsi="Times New Roman;sans-serif"/>
          <w:b w:val="false"/>
          <w:color w:val="000000"/>
          <w:sz w:val="20"/>
        </w:rPr>
        <w:t>loss</w:t>
      </w:r>
      <w:r>
        <w:rPr>
          <w:color w:val="000000"/>
          <w:shd w:fill="FFFFFF" w:val="clear"/>
        </w:rPr>
        <w:t xml:space="preserve"> </w:t>
      </w:r>
      <w:r>
        <w:rPr>
          <w:rFonts w:ascii="Times New Roman;sans-serif" w:hAnsi="Times New Roman;sans-serif"/>
          <w:b w:val="false"/>
          <w:color w:val="000000"/>
          <w:sz w:val="20"/>
          <w:shd w:fill="FFFFFF" w:val="clear"/>
        </w:rPr>
        <w:t>of $110 million</w:t>
      </w:r>
      <w:r>
        <w:rPr>
          <w:color w:val="000000"/>
        </w:rPr>
        <w:t xml:space="preserve"> </w:t>
      </w:r>
      <w:r>
        <w:rPr>
          <w:rFonts w:ascii="Times New Roman;sans-serif" w:hAnsi="Times New Roman;sans-serif"/>
          <w:b w:val="false"/>
          <w:color w:val="000000"/>
          <w:sz w:val="20"/>
        </w:rPr>
        <w:t>at March 28, 2025.</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our efforts to mitigate some foreign exchange risks, we do not hedge all of our foreign currency exposures, and there can be no assurance that our mitigating activities related to the exposures that we do hedge will adequately protect us against risks associated with foreign currency fluctuations. Additionally, the overall effectiveness of our historical hedging strategy is dependent on business, market and global economic conditions. We have revised, and may continue to alter, our hedging program and may choose to discontinue our hedging activities at any time.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We held variable rate debt. As of March 28, 2025, our variable rate debt outstanding consisted of our Term Loan Facility, which is based on various index rates as discussed further in Part I, Item 1, Note 8,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 xml:space="preserve">of the Notes to Condensed Consolidated Financial Statements included in this Quarterly Report on Form 10-Q. As of March 28, 2025, the outstanding balance on our variable rate debt was </w:t>
      </w:r>
      <w:r>
        <w:rPr>
          <w:rFonts w:ascii="Times New Roman;sans-serif" w:hAnsi="Times New Roman;sans-serif"/>
          <w:b w:val="false"/>
          <w:color w:val="000000"/>
          <w:sz w:val="20"/>
          <w:shd w:fill="FFFFFF" w:val="clear"/>
        </w:rPr>
        <w:t>$2 billion</w:t>
      </w:r>
      <w:r>
        <w:rPr>
          <w:color w:val="000000"/>
        </w:rPr>
        <w:t xml:space="preserve"> </w:t>
      </w:r>
      <w:r>
        <w:rPr>
          <w:rFonts w:ascii="Times New Roman;sans-serif" w:hAnsi="Times New Roman;sans-serif"/>
          <w:b w:val="false"/>
          <w:color w:val="000000"/>
          <w:sz w:val="20"/>
        </w:rPr>
        <w:t xml:space="preserve">and a one percent increase in the variable rate of interest would increase our annual interest expense by </w:t>
      </w:r>
      <w:r>
        <w:rPr>
          <w:rFonts w:ascii="Times New Roman;sans-serif" w:hAnsi="Times New Roman;sans-serif"/>
          <w:b w:val="false"/>
          <w:color w:val="000000"/>
          <w:sz w:val="20"/>
          <w:shd w:fill="FFFFFF" w:val="clear"/>
        </w:rPr>
        <w:t>$20 million</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88" w:before="0" w:after="120"/>
        <w:ind w:left="0" w:right="0" w:firstLine="180"/>
        <w:jc w:val="left"/>
        <w:rPr/>
      </w:pPr>
      <w:r>
        <w:rPr>
          <w:rFonts w:ascii="Times New Roman;sans-serif" w:hAnsi="Times New Roman;sans-serif"/>
          <w:b/>
          <w:i/>
          <w:color w:val="000000"/>
          <w:sz w:val="20"/>
        </w:rPr>
        <w:t>Evaluation of Disclosure Controls and Procedure</w:t>
      </w:r>
      <w:r>
        <w:rPr>
          <w:rFonts w:ascii="Times New Roman;sans-serif" w:hAnsi="Times New Roman;sans-serif"/>
          <w:b w:val="false"/>
          <w:i/>
          <w:color w:val="000000"/>
          <w:sz w:val="20"/>
        </w:rPr>
        <w: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promulgated by the U.S.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Changes in Internal Controls over Financial Reporting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a transition period established by SEC rules applicable to newly public companies, our management is not required to evaluate the effectiveness of our internal control over financial reporting until after the filing of our Annual Report on Form 10-K for the year ending June 27, 2025. As a result, this Quarterly Report on Form 10-Q does not address whether there have been any changes in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ans-serif" w:hAnsi="Times New Roman;sans-serif"/>
          <w:b/>
          <w:color w:val="000000"/>
          <w:sz w:val="20"/>
        </w:rPr>
        <w:t>Item 1.</w:t>
      </w:r>
      <w:r>
        <w:rPr>
          <w:color w:val="000000"/>
        </w:rPr>
        <w:t>    </w:t>
      </w:r>
      <w:r>
        <w:rPr>
          <w:rFonts w:ascii="Times New Roman;sans-serif" w:hAnsi="Times New Roman;sans-serif"/>
          <w:b/>
          <w:i/>
          <w:color w:val="000000"/>
          <w:sz w:val="20"/>
        </w:rPr>
        <w:t>Legal Proceedings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legal proceedings, other than ordinary routine litigation incidental to the company, to which we or any of our subsidiaries is a party or of which any of our or our subsidiaries’ property is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ans-serif" w:hAnsi="Times New Roman;sans-serif"/>
          <w:b/>
          <w:color w:val="000000"/>
          <w:sz w:val="20"/>
        </w:rPr>
        <w:t>Item 1A.</w:t>
      </w:r>
      <w:r>
        <w:rPr>
          <w:color w:val="000000"/>
        </w:rPr>
        <w:t>    </w:t>
      </w:r>
      <w:r>
        <w:rPr>
          <w:rFonts w:ascii="Times New Roman;sans-serif" w:hAnsi="Times New Roman;sans-serif"/>
          <w:b/>
          <w:i/>
          <w:color w:val="000000"/>
          <w:sz w:val="20"/>
        </w:rPr>
        <w:t>Risk Factors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described under the heading “Risk Factors” included in the Information Statement filed as Exhibit 99.1 to our Form 10, filed with the Securities and Exchange Commission on November 25, 2024 and as further amended thereafter and declared effective on January 31, 2025 (as amended, the “Form 10”) for the year ended June 28, 2024 a number of risks and uncertainties that could cause our actual results of operations and financial condition to vary materially from past, or from anticipated future, results of operations and financial condition. Except as discussed below, there have been no material changes from these risk factors previously described in our Form 10 for the year ended June 28, 2024. These risks and uncertainties are not the only risks facing us. Additional risks and uncertainties not presently known to us or that we currently deem not material may also adversely affect our business, financial condition, results of operations or the market price of our common stock.</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Future material impairments in the value of our goodwill, intangible assets and other long-lived assets would negatively affect our operating results.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review our goodwill and property, plant and equipment for potential impairment. Goodwill and indefinite-lived intangible assets are subject to impairment reviews on an annual basis, or more frequently if events or changes in circumstances indicate that goodwill may be impaired. We use qualitative factors to determine whether goodwill is more-likely-than-not impaired and whether a quantitative test for impairment is considered necessary. If we conclude from the qualitative assessment that goodwill is more-likely-than-not-impaired, we are required to perform a quantitative analysis to determine the amount of impairment. Subsequent to the completion of the separation, we identified potential impairment indicators related to the trading price of our common stock and a resulting market capitalization that was below its December 27, 2024 net book value. In accordance with ASC No. 350, Intangibles - Goodwill and Other, we performed a quantitative test, which indicated that the carrying value of our reporting unit exceeded its estimated fair value resulting in the recognition of a $1.8 billion impairment charge as of, and for the period ended, March 28, 2025, which was recorded in the accompanying Condensed Consolidated Statements of Operations.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adverse changes to macroeconomic conditions, our operating or financial results, or our estimates of the fair value of our reporting unit could impact the amount of any impairment charges or lead to additional impairment charges. Material impairment charges would negatively affect our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Adverse global or regional conditions could harm our business.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large portion of our revenue is derived from our international operations, and substantially all of our products are produced overseas. As a result, our business depends significantly on global and regional conditions. Adverse changes in global or regional economic conditions, including, but not limited to, volatility in the financial markets, tighter credit, recession, inflation, rising interest rates, slower growth in certain geographic regions, political uncertainty, geopolitical tensions or conflicts, trade war, other macroeconomic factors, changes to social conditions and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significantly dependent on the growth of international markets, and we may face challenges in international sales markets. We are subject to risks associated with our global manufacturing operations and global sales efforts, as well as risks associated with our utilization of contract manufacturers, including: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obtaining governmental approvals and compliance with evolving foreign regulations;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need to comply with regulations on international business, including the Foreign Corrupt Practices Act, the United Kingdom Bribery Act 2010, the anti-bribery laws of other countries and rules regarding conflict minerals;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exchange, currency and tax controls and reallocations;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weaker protection of intellectual property rights;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policies and financial incentives by governments in China, the United States and countries in Europe and Asia designed to reduce dependence on foreign semiconductor manufacturing capabilities;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trade restrictions, such as export controls, export bans, import restrictions, embargoes, sanctions, license and certification requirements (including semiconductor, encryption and other technology), tariffs and complex customs regulations;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difficulties in managing international operations, including appropriate internal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the United States has recently announced changes to U.S. trade policy, including increased tariffs on imported goods. Though the majority of our products sold in the U.S. are currently exempt from tariffs, additional tariff increases or the loss of applicable exemptions would increase the cost of goods sold for our products sold in the U.S., which could negatively impact our margins and financial performance. Increases in the price of our products in response to increased costs may adversely impact demand for those products in the U.S., which could also negatively impact our performance and financial results. Future trade policies and regulations in the U.S. and other countries, the terms of any trade arrangements that may be negotiated between the U.S. and other countries, the scope, amount, or duration of tariffs that may be imposed by any country, and the impact of these factors on our business, either directly or as a result of the impact on the business of our customers, are uncertain and may contribute to increased costs and reduced demand for our products, each of which could harm our financial performance. Uncertainty surrounding international trade policy and regulations could also have an adverse effect on consumer confidence and spending.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these risks, our business could be harmed.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ans-serif" w:hAnsi="Times New Roman;sans-serif"/>
          <w:b/>
          <w:color w:val="000000"/>
          <w:sz w:val="20"/>
        </w:rPr>
        <w:t>Item 5.    </w:t>
      </w:r>
      <w:r>
        <w:rPr>
          <w:rFonts w:ascii="Times New Roman;sans-serif" w:hAnsi="Times New Roman;sans-serif"/>
          <w:b/>
          <w:i/>
          <w:color w:val="000000"/>
          <w:sz w:val="20"/>
        </w:rPr>
        <w:t>Other Information</w:t>
      </w:r>
      <w:r>
        <w:rPr>
          <w:color w:val="000000"/>
        </w:rPr>
        <w:t xml:space="preserve"> </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Insider Trading Arrangements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2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Annual Meeting Date</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On April 29, 2025, our board of directors determined to hold our first annual meeting of stockholders (the “2025 Annual Meeting</w:t>
      </w:r>
      <w:r>
        <w:rPr>
          <w:color w:val="000000"/>
          <w:shd w:fill="FFFFFF" w:val="clear"/>
        </w:rPr>
        <w:t>”</w:t>
      </w:r>
      <w:r>
        <w:rPr>
          <w:rFonts w:ascii="Times New Roman;sans-serif" w:hAnsi="Times New Roman;sans-serif"/>
          <w:b w:val="false"/>
          <w:color w:val="000000"/>
          <w:sz w:val="20"/>
        </w:rPr>
        <w:t>) on Tuesday, November 18, 2025. In accordance with our Bylaws, stockholder proposals and nominations should be sent to Sandisk Corporation, 951 Sandisk Drive, Milpitas, California, 95035, Attention: Secretary, and deadlines for submission of nominations and stockholder proposals are set out below:</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Deadline for Rule 14a-8 Stockholder Proposals</w:t>
      </w:r>
      <w:r>
        <w:rPr>
          <w:rFonts w:ascii="Times New Roman;sans-serif" w:hAnsi="Times New Roman;sans-serif"/>
          <w:b w:val="false"/>
          <w:color w:val="000000"/>
          <w:sz w:val="20"/>
        </w:rPr>
        <w:t>: Consistent with the Securities and Exchange Commission’s proxy rules, we have set June 27, 2025 as the deadline for receipt of proposals to be included in our proxy materials for the 2025 Annual Meeting.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Deadline for Other Stockholder Proposals</w:t>
      </w:r>
      <w:r>
        <w:rPr>
          <w:rFonts w:ascii="Times New Roman;sans-serif" w:hAnsi="Times New Roman;sans-serif"/>
          <w:b w:val="false"/>
          <w:color w:val="000000"/>
          <w:sz w:val="20"/>
        </w:rPr>
        <w:t>: In accordance with our Bylaws, notice of stockholder proposals intended to be presented at, but not included in proxy materials for, the 2025 Annual Meeting, including director nominations for election to our board of directors (other than “proxy access</w:t>
      </w:r>
      <w:r>
        <w:rPr>
          <w:color w:val="000000"/>
          <w:shd w:fill="FFFFFF" w:val="clear"/>
        </w:rPr>
        <w:t>”</w:t>
      </w:r>
      <w:r>
        <w:rPr>
          <w:color w:val="000000"/>
        </w:rPr>
        <w:t xml:space="preserve"> </w:t>
      </w:r>
      <w:r>
        <w:rPr>
          <w:rFonts w:ascii="Times New Roman;sans-serif" w:hAnsi="Times New Roman;sans-serif"/>
          <w:b w:val="false"/>
          <w:color w:val="000000"/>
          <w:sz w:val="20"/>
        </w:rPr>
        <w:t>director nominations) must be received no earlier than July 21, 2025 and no later than August 20, 2025. Notice must also comply with the other requirements in our Bylaws and other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    </w:t>
      </w:r>
      <w:r>
        <w:rPr>
          <w:rFonts w:ascii="Times New Roman;sans-serif" w:hAnsi="Times New Roman;sans-serif"/>
          <w:b/>
          <w:i/>
          <w:color w:val="000000"/>
          <w:sz w:val="20"/>
        </w:rPr>
        <w:t>Exhibits</w:t>
      </w:r>
      <w:r>
        <w:rPr>
          <w:color w:val="000000"/>
        </w:rPr>
        <w:t xml:space="preserv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in the Exhibit Index below are filed or furnished with, or incorporated by reference in, this Quarterly Report on Form 10-Q, as specified in the Exhibit List, including from exhibits previously filed with the Securities and Exchange Commission. </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bl>
      <w:tblPr>
        <w:tblW w:w="10205" w:type="dxa"/>
        <w:jc w:val="center"/>
        <w:tblInd w:w="0" w:type="dxa"/>
        <w:tblLayout w:type="fixed"/>
        <w:tblCellMar>
          <w:top w:w="28" w:type="dxa"/>
          <w:left w:w="28" w:type="dxa"/>
          <w:bottom w:w="28" w:type="dxa"/>
          <w:right w:w="28" w:type="dxa"/>
        </w:tblCellMar>
      </w:tblPr>
      <w:tblGrid>
        <w:gridCol w:w="277"/>
        <w:gridCol w:w="244"/>
        <w:gridCol w:w="245"/>
        <w:gridCol w:w="109"/>
        <w:gridCol w:w="109"/>
        <w:gridCol w:w="109"/>
        <w:gridCol w:w="2764"/>
        <w:gridCol w:w="2623"/>
        <w:gridCol w:w="372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16"/>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Separation and Distribution Agreement, dated as of February 21, 2025, by and between Western Digital Corporation and Sandisk Corporation (Filed as Exhibit 2.1 to the Company’s Current Report on Form 8-K with the Securities and Exchange Commission on February 24, 2025)#</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ans-serif" w:hAnsi="Times New Roman;sans-serif"/>
                  <w:b w:val="false"/>
                  <w:color w:val="0000FF"/>
                  <w:sz w:val="16"/>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Amended and Restated Certificate of Incorporation of the Sandisk Corporation dated as of January 28, 2025 (Filed as Exhibit 3.1 to the Company’s Current Report on Form 8-K with the Securities and Exchange Commission on February 24, 2025)</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16"/>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Amended and Restated Bylaws of the Company (Filed as Exhibit 3.1 to the Company’s Current Report on Form 8-K with the Securities and Exchange Commission on February 14, 2025)</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ans-serif" w:hAnsi="Times New Roman;sans-serif"/>
                  <w:b w:val="false"/>
                  <w:color w:val="0000FF"/>
                  <w:sz w:val="16"/>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Transition Services Agreement, dated as of February 21, 2025, by and between Western Digital Corporation and Sandisk Corporation (Filed as Exhibit 10.1 to the Company’s Current Report on Form 8-K with the Securities and Exchange Commission on February 24, 2025)#</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16"/>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Matters Agreement, dated as of February 21, 2025, by and between Western Digital Corporation and Sandisk Corporation (Filed as Exhibit 10.2 to the Company’s Current Report on Form 8-K with the Securities and Exchange Commission on February 24, 2025)#</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ans-serif" w:hAnsi="Times New Roman;sans-serif"/>
                  <w:b w:val="false"/>
                  <w:color w:val="0000FF"/>
                  <w:sz w:val="16"/>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Matters Agreement, dated as of February 21, 2025, by and between Western Digital Corporation and Sandisk Corporation (Filed as Exhibit 10.3 to the Company’s Current Report on Form 8-K with the Securities and Exchange Commission on February 24, 2025)#</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16"/>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Intellectual Property Cross-License Agreement, dated as of February 21, 2025, by and between Western Digital Corporation and Sandisk Corporation (Filed as Exhibit 10.4 to the Company’s Current Report on Form 8-K with the Securities and Exchange Commission on February 24, 2025)#</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ans-serif" w:hAnsi="Times New Roman;sans-serif"/>
                  <w:b w:val="false"/>
                  <w:color w:val="0000FF"/>
                  <w:sz w:val="16"/>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Transitional Trademark License Agreement, dated as of February 21, 2025, by and between Western Digital Corporation and Sandisk Corporation (Filed as Exhibit 10.5 to the Company’s Current Report on Form 8-K with the Securities and Exchange Commission on February 24, 2025)#</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16"/>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 and Registration Rights Agreement, dated as of February 21, 2025, by and between Western Digital Corporation and Sandisk Corporation (Filed as Exhibit 10.6 to the Company’s Current Report on Form 8-K with the Securities and Exchange Commission on February 24, 2025)#</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ans-serif" w:hAnsi="Times New Roman;sans-serif"/>
                  <w:b w:val="false"/>
                  <w:color w:val="0000FF"/>
                  <w:sz w:val="16"/>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Agreement, dated as of February 21, 2025, by and among Sandisk Corporation, each lender party thereto, JPMorgan Chase Bank, N.A., as administrative agent and collateral agent and the other parties party thereto (Filed as Exhibit 10.7 to the Company’s Current Report on Form 8-K with the Securities and Exchange Commission on February 24, 2025)#</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16"/>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Security Agreement, dated as of February 21, 2025, by and among Sandisk Corporation, Sandisk Technologies, Inc. and JPMorgan Chase Bank, N.A., as collateral agent (Filed as Exhibit 10.8 to the Company’s Current Report on Form 8-K with the Securities and Exchange Commission on February 24, 2025)</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ans-serif" w:hAnsi="Times New Roman;sans-serif"/>
                  <w:b w:val="false"/>
                  <w:color w:val="0000FF"/>
                  <w:sz w:val="16"/>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Guaranty Agreement, dated as of February 21, 2025, by and among Sandisk Corporation, Sandisk Technologies, Inc. and JPMorgan Chase Bank, N.A., as administrative agent (Filed as Exhibit 10.9 to the Company’s Current Report on Form 8-K with the Securities and Exchange Commission on February 24, 2025)</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2"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3fy25ex311.htm">
              <w:r>
                <w:rPr>
                  <w:rStyle w:val="InternetLink"/>
                  <w:rFonts w:ascii="Times New Roman;sans-serif" w:hAnsi="Times New Roman;sans-serif"/>
                  <w:b w:val="false"/>
                  <w:color w:val="0000FF"/>
                  <w:sz w:val="16"/>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Principal Executive Officer Pursuant to Section 302 of the Sarbanes-Oxley Act of 2002†</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3fy25ex312.htm">
              <w:r>
                <w:rPr>
                  <w:rStyle w:val="InternetLink"/>
                  <w:rFonts w:ascii="Times New Roman;sans-serif" w:hAnsi="Times New Roman;sans-serif"/>
                  <w:b w:val="false"/>
                  <w:color w:val="0000FF"/>
                  <w:sz w:val="16"/>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Principal Financial Officer Pursuant to Section 302 of the Sarbanes-Oxley Act of 2002†</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3fy25ex321.htm">
              <w:r>
                <w:rPr>
                  <w:rStyle w:val="InternetLink"/>
                  <w:rFonts w:ascii="Times New Roman;sans-serif" w:hAnsi="Times New Roman;sans-serif"/>
                  <w:b w:val="false"/>
                  <w:color w:val="0000FF"/>
                  <w:sz w:val="16"/>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Chief Executive Officer Pursuant to 18 U.S.C. Section 1350, as adopted pursuant to Section 906 of the Sarbanes-Oxley Act of 2002†</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3fy25ex322.htm">
              <w:r>
                <w:rPr>
                  <w:rStyle w:val="InternetLink"/>
                  <w:rFonts w:ascii="Times New Roman;sans-serif" w:hAnsi="Times New Roman;sans-serif"/>
                  <w:b w:val="false"/>
                  <w:color w:val="0000FF"/>
                  <w:sz w:val="16"/>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Chief Financial Officer Pursuant to 18 U.S.C. Section 1350, as adopted pursuant to Section 906 of the Sarbanes-Oxley Act of 2002†</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 - the instance document does not appear in the Interactive Data File because its XBRL tags are embedded within the Inline XBRL document**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Schema Document**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Calculation Linkbase Document**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 Linkbase Document**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Presentation Linkbase Document**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 Document**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 formatted in Inline XBRL and contained in Exhibit 101**</w:t>
            </w:r>
          </w:p>
        </w:tc>
      </w:tr>
    </w:tbl>
    <w:p>
      <w:pPr>
        <w:pStyle w:val="TextBody"/>
        <w:bidi w:val="0"/>
        <w:spacing w:lineRule="auto" w:line="288" w:before="0" w:after="0"/>
        <w:ind w:left="0" w:right="0" w:hanging="360"/>
        <w:jc w:val="left"/>
        <w:rPr>
          <w:color w:val="000000"/>
        </w:rPr>
      </w:pPr>
      <w:r>
        <w:rPr>
          <w:color w:val="000000"/>
        </w:rPr>
        <w:t xml:space="preserve">† </w:t>
      </w:r>
      <w:r>
        <w:rPr>
          <w:rFonts w:ascii="Times New Roman;sans-serif" w:hAnsi="Times New Roman;sans-serif"/>
          <w:b w:val="false"/>
          <w:color w:val="000000"/>
          <w:sz w:val="18"/>
        </w:rPr>
        <w:t>Filed with this report.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Furnished with this report.</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Schedules and exhibits have been omitted pursuant to Item 601(a)(5) of Regulation S-K. The Registrant agrees to furnish supplementally a copy of any omitted schedule or exhibit to the U.S.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081020b280a4568bdb80d31bd0ea17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519" w:type="dxa"/>
        <w:jc w:val="left"/>
        <w:tblInd w:w="0" w:type="dxa"/>
        <w:tblLayout w:type="fixed"/>
        <w:tblCellMar>
          <w:top w:w="28" w:type="dxa"/>
          <w:left w:w="28" w:type="dxa"/>
          <w:bottom w:w="28" w:type="dxa"/>
          <w:right w:w="28" w:type="dxa"/>
        </w:tblCellMar>
      </w:tblPr>
      <w:tblGrid>
        <w:gridCol w:w="124"/>
        <w:gridCol w:w="109"/>
        <w:gridCol w:w="109"/>
        <w:gridCol w:w="251"/>
        <w:gridCol w:w="251"/>
        <w:gridCol w:w="251"/>
        <w:gridCol w:w="1281"/>
        <w:gridCol w:w="1281"/>
        <w:gridCol w:w="1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Sandisk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/s/ Michael R. Pokorny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Michael R. Pokorny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Vice President,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 and Duly Authorized Officer)</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David V. Goeckeler, certify that: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Sandisk Corporation;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2397" w:type="dxa"/>
        <w:jc w:val="left"/>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Luis F. Visoso, certify that: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Sandisk Corporation;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3"/>
        <w:gridCol w:w="1313"/>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br/>
              <w:t>(Principal Financial Officer)</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Sandisk Corporation, a Delaware corporation (the “Company”), hereby certifies, to his knowledge, that: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Quarterly Report on Form 10-Q of the Company for the period ended March 28, 2025 (the “Report”) fully complies with the requirements of Section 13(a) or Section 15(d), as applicable, of the Securities Exchange Act of 1934, as amended; and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tbl>
      <w:tblPr>
        <w:tblW w:w="2397" w:type="dxa"/>
        <w:jc w:val="left"/>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Sandisk Corporation, a Delaware corporation (the “Company”), hereby certifies, to his knowledge, that: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Quarterly Report on Form 10-Q of the Company for the period ended March 28, 2025 (the “Report”) fully complies with the requirements of Section 13(a) or Section 15(d), as applicable, of the Securities Exchange Act of 1934, as amended; and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3"/>
        <w:gridCol w:w="1313"/>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br/>
              <w:t>(Principal Financial Officer)</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2025</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3554/000119312525033433/d849281dex21.htm" TargetMode="External"/><Relationship Id="rId3" Type="http://schemas.openxmlformats.org/officeDocument/2006/relationships/hyperlink" Target="https://www.sec.gov/Archives/edgar/data/2023554/000119312525033433/d849281dex31.htm" TargetMode="External"/><Relationship Id="rId4" Type="http://schemas.openxmlformats.org/officeDocument/2006/relationships/hyperlink" Target="https://www.sec.gov/Archives/edgar/data/2023554/000119312525027285/d229754dex31.htm" TargetMode="External"/><Relationship Id="rId5" Type="http://schemas.openxmlformats.org/officeDocument/2006/relationships/hyperlink" Target="https://www.sec.gov/Archives/edgar/data/2023554/000119312525033433/d849281dex101.htm" TargetMode="External"/><Relationship Id="rId6" Type="http://schemas.openxmlformats.org/officeDocument/2006/relationships/hyperlink" Target="https://www.sec.gov/Archives/edgar/data/2023554/000119312525033433/d849281dex102.htm" TargetMode="External"/><Relationship Id="rId7" Type="http://schemas.openxmlformats.org/officeDocument/2006/relationships/hyperlink" Target="https://www.sec.gov/Archives/edgar/data/2023554/000119312525033433/d849281dex103.htm" TargetMode="External"/><Relationship Id="rId8" Type="http://schemas.openxmlformats.org/officeDocument/2006/relationships/hyperlink" Target="https://www.sec.gov/Archives/edgar/data/2023554/000119312525033433/d849281dex104.htm" TargetMode="External"/><Relationship Id="rId9" Type="http://schemas.openxmlformats.org/officeDocument/2006/relationships/hyperlink" Target="https://www.sec.gov/Archives/edgar/data/2023554/000119312525033433/d849281dex105.htm" TargetMode="External"/><Relationship Id="rId10" Type="http://schemas.openxmlformats.org/officeDocument/2006/relationships/hyperlink" Target="https://www.sec.gov/Archives/edgar/data/2023554/000119312525033433/d849281dex106.htm" TargetMode="External"/><Relationship Id="rId11" Type="http://schemas.openxmlformats.org/officeDocument/2006/relationships/hyperlink" Target="https://www.sec.gov/Archives/edgar/data/2023554/000119312525033433/d849281dex107.htm" TargetMode="External"/><Relationship Id="rId12" Type="http://schemas.openxmlformats.org/officeDocument/2006/relationships/hyperlink" Target="https://www.sec.gov/Archives/edgar/data/2023554/000119312525033433/d849281dex108.htm" TargetMode="External"/><Relationship Id="rId13" Type="http://schemas.openxmlformats.org/officeDocument/2006/relationships/hyperlink" Target="https://www.sec.gov/Archives/edgar/data/2023554/000119312525033433/d849281dex109.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27902</Words>
  <Characters>153908</Characters>
  <CharactersWithSpaces>180347</CharactersWithSpaces>
  <Paragraphs>2983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