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Sandisk Corporation</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001-42420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99-1508671</w:t>
            </w:r>
          </w:p>
        </w:tc>
      </w:tr>
      <w:tr>
        <w:trPr>
          <w:trHeight w:val="149"/>
        </w:trPr>
        <w:tc>
          <w:tcPr>
            <w:tcW w:w="3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951 Sandisk Drive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Milpitas, California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95035</w:t>
            </w:r>
          </w:p>
        </w:tc>
      </w:t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Bernard Shek</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(408) 801-1000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As required by Rule 13p-1 under the Securities Exchange Act of 1934, as amended (the “Conflict Minerals Rule”), Sandisk Corporation (the “Company”) has filed this Form SD for the reporting period from January 1, 2025 to December 31,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Company’s reasonable country of origin inquiry (“RCOI”) process, the results of our inquiry, and the determination we reached as a result of the RCOI are included in the Company’s Conflict Minerals Report, attached as an exhibit to this Form SD.</w:t>
      </w:r>
    </w:p>
    <w:p>
      <w:pPr>
        <w:spacing w:after="0" w:line="162"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 xml:space="preserve">This Form SD and our Conflict Minerals Report, filed as an Exhibit to this Form SD, are publicly available on the Internet at: </w:t>
      </w:r>
      <w:r>
        <w:rPr>
          <w:rFonts w:ascii="Times New Roman" w:cs="Times New Roman" w:eastAsia="Times New Roman" w:hAnsi="Times New Roman"/>
          <w:sz w:val="17"/>
          <w:szCs w:val="17"/>
          <w:u w:val="single" w:color="auto"/>
          <w:color w:val="auto"/>
        </w:rPr>
        <w:t>https://investor.sandisk.com/financial-information/sec-filings</w:t>
      </w:r>
      <w:r>
        <w:rPr>
          <w:rFonts w:ascii="Times New Roman" w:cs="Times New Roman" w:eastAsia="Times New Roman" w:hAnsi="Times New Roman"/>
          <w:sz w:val="17"/>
          <w:szCs w:val="17"/>
          <w:color w:val="auto"/>
        </w:rPr>
        <w:t>. The content of any website referred to in this Form SD or the related Conflict Minerals Report is included for general information only and is not incorporated by reference into this Form SD or the related Conflict Minerals Report.</w:t>
      </w:r>
    </w:p>
    <w:p>
      <w:pPr>
        <w:spacing w:after="0" w:line="3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2—Resource Extraction Issuer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submitted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Conflict Minerals Report as required by Items 1.01 and 1.02 of this Form SD.</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Bernard Shek</w:t>
            </w:r>
          </w:p>
        </w:tc>
        <w:tc>
          <w:tcPr>
            <w:tcW w:w="5660" w:type="dxa"/>
            <w:vAlign w:val="bottom"/>
          </w:tcPr>
          <w:p>
            <w:pPr>
              <w:ind w:left="4640"/>
              <w:spacing w:after="0"/>
              <w:rPr>
                <w:sz w:val="20"/>
                <w:szCs w:val="20"/>
                <w:color w:val="auto"/>
              </w:rPr>
            </w:pPr>
            <w:r>
              <w:rPr>
                <w:rFonts w:ascii="Times New Roman" w:cs="Times New Roman" w:eastAsia="Times New Roman" w:hAnsi="Times New Roman"/>
                <w:sz w:val="18"/>
                <w:szCs w:val="18"/>
                <w:color w:val="auto"/>
                <w:w w:val="99"/>
              </w:rPr>
              <w:t>May 22, 2026</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Bernard Shek</w:t>
            </w:r>
          </w:p>
        </w:tc>
        <w:tc>
          <w:tcPr>
            <w:tcW w:w="5660" w:type="dxa"/>
            <w:vAlign w:val="bottom"/>
          </w:tcPr>
          <w:p>
            <w:pPr>
              <w:spacing w:after="0"/>
              <w:rPr>
                <w:sz w:val="16"/>
                <w:szCs w:val="16"/>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 and Secretary</w:t>
            </w:r>
          </w:p>
        </w:tc>
        <w:tc>
          <w:tcPr>
            <w:tcW w:w="566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Sandisk Corporation has filed this Conflict Minerals Report as an exhibit to its Form SD for calendar year 2025 as contemplated by Rule 13p-1 under the Securities Exchange Act of 1934, as amended (the “Conflict Minerals Rule”).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the terms “we,” “its,” “us,” “our” and “Company” refer to Sandisk Corporation and its consolidated subsidiaries. As used herein and consistent with the Conflict Minerals Rule, “Conflict Minerals” or “3TG” are columbite-tantalite (coltan), cassiterite, gold, wolframite and the derivatives tantalum, tin and tungsten, without regard to the location of origin of the minerals or derivative metals.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“intend” and the like, or the use of future tense. Statements concerning current conditions may also be forward-looking if they imply a continuation of current conditions. Examples of forward-looking statements include, but are not limited to, statements concerning the additional steps that we intend to take to mitigate risks related to the sourcing of the necessary 3TG.</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our direct and indirect suppliers on a timely basis or at all, (2) whether smelters and refiners and other market participants responsibly source 3TG, and (3) political and regulatory developments, whether in the Democratic Republic of the Congo, its adjoining countries, the United States or elsewhere. You should not place undue reliance on these forward-looking statements, which speak only as of the date of filing of this document. We do not intend, and undertake no obligation, to publish revised forward-looking statements to reflect events or circumstances after the date of filing of this document or to reflect the occurrence of unanticipated events.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the Conflict Minerals Rule to Our Company</w:t>
      </w:r>
    </w:p>
    <w:p>
      <w:pPr>
        <w:spacing w:after="0" w:line="12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We are a leading developer, manufacturer, and provider of data storage devices and solutions based on NAND flash technology. With a differentiated innovation engine driving advancements in storage and semiconductor technologies, Sandisk’s broad and ever-expanding portfolio delivers powerful flash storage solutions for artificial intelligence workloads in datacenters, edge devices, and consumer applications. Sandisk’s technologies enable everyone from students, gamers, and home offices to the largest enterprises and public clouds to produce, analyze, and store data.</w:t>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21, 2025, we spun-off (the “separation”) from Western Digital Corporation (“Western Digital”) and on February 24, 2025, we began trading as an independent, publicly traded company. Some of the processes and procedures described herein were originally developed and implemented under Western Digital and have been continued by us as described below following the separation.</w:t>
      </w:r>
    </w:p>
    <w:p>
      <w:pPr>
        <w:spacing w:after="0" w:line="17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We are subject to the Conflict Minerals Rule because certain products that we manufacture or contract to be manufactured contain 3TG that are necessary to the functionality or production of the products. We do not directly source 3TG from mines, smelters or refiners. However, through the efforts described in this Conflict Minerals Report, we seek to ensure that our sourcing practices are consistent with the expectations stated in our Responsible Minerals Policy (as defined below), which is consistent with the model policy included in the OECD Guidance (as defined below).</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Responsible Minerals Policy</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 xml:space="preserve">We strongly disapprove of the violence in the Democratic Republic of the Congo (the “DRC”) and adjoining countries (collectively, the “Covered Countries”), and we are committed to supporting responsible sourcing of 3TG. We communicate with suppliers regarding the importance of and our commitment to responsible sourcing, and we take our compliance obligations under the Conflict Minerals Rule seriously. To these ends, we have adopted and communicated to our suppliers and the public our responsible minerals policy (our “Responsible Minerals Policy”), which is posted on our website at </w:t>
      </w:r>
      <w:r>
        <w:rPr>
          <w:rFonts w:ascii="Times New Roman" w:cs="Times New Roman" w:eastAsia="Times New Roman" w:hAnsi="Times New Roman"/>
          <w:sz w:val="18"/>
          <w:szCs w:val="18"/>
          <w:u w:val="single" w:color="auto"/>
          <w:color w:val="auto"/>
        </w:rPr>
        <w:t>https://www.sandisk.com/company/corporate-responsibility/resource-center</w:t>
      </w:r>
      <w:r>
        <w:rPr>
          <w:rFonts w:ascii="Times New Roman" w:cs="Times New Roman" w:eastAsia="Times New Roman" w:hAnsi="Times New Roman"/>
          <w:sz w:val="18"/>
          <w:szCs w:val="18"/>
          <w:color w:val="auto"/>
        </w:rPr>
        <w:t>. We expect our suppliers to adopt policies based on OECD Guidance (as defined below) with respect to 3TG, cobalt and other minerals in support of our Responsible Minerals Policy and, throughout the supply chain, to require their suppliers to adopt similar policies. Our Responsible Minerals Policy expresses our expectation that our suppliers:</w:t>
      </w:r>
    </w:p>
    <w:p>
      <w:pPr>
        <w:spacing w:after="0" w:line="94" w:lineRule="exact"/>
        <w:rPr>
          <w:sz w:val="20"/>
          <w:szCs w:val="20"/>
          <w:color w:val="auto"/>
        </w:rPr>
      </w:pPr>
    </w:p>
    <w:p>
      <w:pPr>
        <w:ind w:left="964" w:right="60" w:hanging="532"/>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3TG to us that are responsibly sourced, including from conformant smelters in the Covered Countries, by which we mean (a) any 3TG necessary to the functionality and production of supplied materials do not directly or indirectly finance armed groups through mining or mineral trading in the Covered Countries, or (b) any 3TG in supplied materials are from recycled or scrap sources; and</w:t>
      </w:r>
    </w:p>
    <w:p>
      <w:pPr>
        <w:spacing w:after="0" w:line="81" w:lineRule="exact"/>
        <w:rPr>
          <w:rFonts w:ascii="Times New Roman" w:cs="Times New Roman" w:eastAsia="Times New Roman" w:hAnsi="Times New Roman"/>
          <w:sz w:val="18"/>
          <w:szCs w:val="18"/>
          <w:color w:val="auto"/>
        </w:rPr>
      </w:pPr>
    </w:p>
    <w:p>
      <w:pPr>
        <w:ind w:left="964" w:right="60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policies with respect to 3TG in support of our Responsible Minerals Policy and, throughout the supply chain, to require their suppliers to adopt similar policies.</w:t>
      </w:r>
    </w:p>
    <w:p>
      <w:pPr>
        <w:spacing w:after="0" w:line="162" w:lineRule="exact"/>
        <w:rPr>
          <w:sz w:val="20"/>
          <w:szCs w:val="20"/>
          <w:color w:val="auto"/>
        </w:rPr>
      </w:pPr>
    </w:p>
    <w:p>
      <w:pPr>
        <w:ind w:left="4" w:right="220"/>
        <w:spacing w:after="0" w:line="312" w:lineRule="auto"/>
        <w:rPr>
          <w:sz w:val="20"/>
          <w:szCs w:val="20"/>
          <w:color w:val="auto"/>
        </w:rPr>
      </w:pPr>
      <w:r>
        <w:rPr>
          <w:rFonts w:ascii="Times New Roman" w:cs="Times New Roman" w:eastAsia="Times New Roman" w:hAnsi="Times New Roman"/>
          <w:sz w:val="17"/>
          <w:szCs w:val="17"/>
          <w:color w:val="auto"/>
        </w:rPr>
        <w:t>Under the Conflict Minerals Rule, an “armed group” is an armed group that is identified as a perpetrator of serious human rights abuses in annual Country Reports on Human Rights Practices under sections 116(d) and 502B(b) of the Foreign Assistance Act of 1961 relating to a Covered Country.</w:t>
      </w:r>
    </w:p>
    <w:p>
      <w:pPr>
        <w:spacing w:after="0" w:line="140"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We do not embargo, nor do we support the embargoing of, 3TG from Covered Countries, but rather encourage our suppliers to continue to source responsibly from the region.</w:t>
      </w:r>
    </w:p>
    <w:p>
      <w:pPr>
        <w:spacing w:after="0" w:line="162"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In addition, we are a member of the Responsible Business Alliance (“RBA”), which is the world’s largest industry coalition dedicated to electronics supply chain responsibility. Through the RBA’s Responsible Minerals Initiative (“RMI”), we have worked with and continue to work with other companies focusing on responsible 3TG sourcing. We regularly participate in the RBA and RMI working group meetings including Emerging Minerals, the Due Diligence Practice Team and the Mineral Reporting Team, as well as working with RMI’s China Smelter Engagement Team (“China SET”). Employees selected for the China SET workgroup are able to communicate in Mandarin and conduct outreach with, or perform due diligence on, select smelters and refiners.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Information</w:t>
      </w:r>
    </w:p>
    <w:p>
      <w:pPr>
        <w:spacing w:after="0" w:line="121" w:lineRule="exact"/>
        <w:rPr>
          <w:sz w:val="20"/>
          <w:szCs w:val="20"/>
          <w:color w:val="auto"/>
        </w:rPr>
      </w:pPr>
    </w:p>
    <w:p>
      <w:pPr>
        <w:ind w:left="4" w:right="120"/>
        <w:spacing w:after="0" w:line="274" w:lineRule="auto"/>
        <w:rPr>
          <w:sz w:val="20"/>
          <w:szCs w:val="20"/>
          <w:color w:val="auto"/>
        </w:rPr>
      </w:pPr>
      <w:r>
        <w:rPr>
          <w:rFonts w:ascii="Times New Roman" w:cs="Times New Roman" w:eastAsia="Times New Roman" w:hAnsi="Times New Roman"/>
          <w:sz w:val="17"/>
          <w:szCs w:val="17"/>
          <w:color w:val="auto"/>
        </w:rPr>
        <w:t>As required by the Conflict Minerals Rule, we conducted in good faith a “reasonable country of origin inquiry” (“RCOI”) covering 2025. Our RCOI was reasonably designed to determine whether any of the necessary 3TG contained in our products originated in the Covered Countries or came from recycled or scrap sources. We identified 91 suppliers that we believe provided us with components, parts or products containing necessary 3TG, or that we believe may have provided us with components, parts or products containing necessary 3TG. We provided those suppliers with, and asked those suppliers to complete, the Conflict Minerals Reporting Template developed by the RMI. 100% of those suppliers responded to our request for information. We then evaluated supplier response completeness, reliability and the logic of the data provided and provided feedback to those suppliers.</w:t>
      </w:r>
    </w:p>
    <w:p>
      <w:pPr>
        <w:spacing w:after="0" w:line="173" w:lineRule="exact"/>
        <w:rPr>
          <w:sz w:val="20"/>
          <w:szCs w:val="20"/>
          <w:color w:val="auto"/>
        </w:rPr>
      </w:pPr>
    </w:p>
    <w:p>
      <w:pPr>
        <w:ind w:left="4"/>
        <w:spacing w:after="0" w:line="230" w:lineRule="auto"/>
        <w:rPr>
          <w:sz w:val="20"/>
          <w:szCs w:val="20"/>
          <w:color w:val="auto"/>
        </w:rPr>
      </w:pPr>
      <w:r>
        <w:rPr>
          <w:rFonts w:ascii="Times New Roman" w:cs="Times New Roman" w:eastAsia="Times New Roman" w:hAnsi="Times New Roman"/>
          <w:sz w:val="18"/>
          <w:szCs w:val="18"/>
          <w:color w:val="auto"/>
        </w:rPr>
        <w:t>For 2025, the responding suppliers identified a total of 235 different smelters and refiners that may have processed the necessary 3TG contained in our products. Based on the information reported by our suppliers that submitted Conflict Minerals Reporting Templates to us and the country of origin information that the RMI</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makes available to its members, we concluded that 17 of these conformant smelters and refiners sourced or may have sourced from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40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RMI has a cross-recognition program that incorporates certain information published by the London Bullion Market Association and the Responsible Jewellery Council, where applicable.</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Nineteen (19) of the smelters and refiners that were identified by suppliers as having processed necessary 3TG in our products were reasonably believed by us to have sourced only recycled or scrap content for 2025, based on origin information that the RMI makes available to its members. To the extent that a smelter or refiner processed both recycled or scrap and newly mined 3TG, we were unable to determine the origin of the necessary 3TG in our products.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Some of our suppliers were unable to provide country of origin information to us because of incomplete or insufficiently detailed responses from their own suppliers. As a result, we were unable to determine that none of our necessary 3TG originated in the Covered Countries or whether they are from recycled or scrap sources. Therefore, we conducted due diligence on the source and chain of custody of those necessary conflict minerals in our products.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our reasonable country of origin inquiry, to the extent applicable, we utilized many of the same processes and procedures as for our due diligence, in particular Step #1 and Step #2 of the OECD Guidance (as defined below), which are described below in this Conflict Minerals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Design</w:t>
      </w:r>
    </w:p>
    <w:p>
      <w:pPr>
        <w:spacing w:after="0" w:line="11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designed our due diligence measures relating to 3TG to conform with, in all material respects, the due diligence framework set forth in the Organisation for Economic Co-operation and Development’s (“OECD”) Due Diligence Guidance for Responsible Supply Chains of Minerals from Conflict-Affected and High-Risk Areas, including the Supplement on Tin, Tantalum and Tungsten and the Supplement on Gold (Third Edition) (collectively, the “OECD Guidance”).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Measures Performed</w:t>
      </w:r>
    </w:p>
    <w:p>
      <w:pPr>
        <w:spacing w:after="0" w:line="1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due diligence measures we performed during/for the Reporting Period. The headings below conform to the headings used in the OECD Guidance for each of the five steps.</w:t>
      </w:r>
    </w:p>
    <w:p>
      <w:pPr>
        <w:spacing w:after="0" w:line="65"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#1: Establish and maintain strong company management systems</w:t>
      </w:r>
    </w:p>
    <w:p>
      <w:pPr>
        <w:spacing w:after="0" w:line="132" w:lineRule="exact"/>
        <w:rPr>
          <w:rFonts w:ascii="Times New Roman" w:cs="Times New Roman" w:eastAsia="Times New Roman" w:hAnsi="Times New Roman"/>
          <w:sz w:val="18"/>
          <w:szCs w:val="18"/>
          <w:i w:val="1"/>
          <w:iCs w:val="1"/>
          <w:color w:val="auto"/>
        </w:rPr>
      </w:pPr>
    </w:p>
    <w:p>
      <w:pPr>
        <w:ind w:left="1420" w:hanging="439"/>
        <w:spacing w:after="0" w:line="256"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team of senior staff who are members of the working group responsible for the management and continued implementation of our 3TG compliance strategy. This staff reports to senior leadership of our Company. The following functional areas are represented on the working group or are otherwise involved with our compliance process: legal; corporate sustainability; procurement; and quality. Leadership of the compliance program resides with our Vice President, Procurement. The Governance Committee of our Board of Directors also oversees our Company’s corporate responsibility and sustainability policies and programs, as well as the Company’s public reporting on these topics.</w:t>
      </w:r>
    </w:p>
    <w:p>
      <w:pPr>
        <w:spacing w:after="0" w:line="92" w:lineRule="exact"/>
        <w:rPr>
          <w:rFonts w:ascii="Times New Roman" w:cs="Times New Roman" w:eastAsia="Times New Roman" w:hAnsi="Times New Roman"/>
          <w:sz w:val="18"/>
          <w:szCs w:val="18"/>
          <w:color w:val="auto"/>
        </w:rPr>
      </w:pPr>
    </w:p>
    <w:p>
      <w:pPr>
        <w:ind w:left="1420" w:right="140" w:hanging="439"/>
        <w:spacing w:after="0" w:line="258"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Global Procurement – Responsible Supply Chain team participate in RMI conferences and working groups to expand and upskill knowledge and consistently receive training from the RMI on the Conflict Minerals Rule, the OECD Guidance, our compliance program and our procedures for reviewing and validating supplier responses to our inquiries. We have internal procedures documents addressing various aspects of our compliance program, including our review and validation of supplier responses. These documents are communicated to the members of the working group.</w:t>
      </w:r>
    </w:p>
    <w:p>
      <w:pPr>
        <w:spacing w:after="0" w:line="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specialist outside counsel and other consultants to assist us with our compliance efforts.</w:t>
      </w:r>
    </w:p>
    <w:p>
      <w:pPr>
        <w:spacing w:after="0" w:line="130" w:lineRule="exact"/>
        <w:rPr>
          <w:rFonts w:ascii="Times New Roman" w:cs="Times New Roman" w:eastAsia="Times New Roman" w:hAnsi="Times New Roman"/>
          <w:sz w:val="18"/>
          <w:szCs w:val="18"/>
          <w:color w:val="auto"/>
        </w:rPr>
      </w:pPr>
    </w:p>
    <w:p>
      <w:pPr>
        <w:ind w:left="1420" w:right="100" w:hanging="439"/>
        <w:spacing w:after="0" w:line="261"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 Responsible Minerals Policy, which includes our position on conflict minerals, including our commitment to responsible sourcing from Covered Countries. Our Responsible Minerals Policy is posted on our website at </w:t>
      </w:r>
      <w:r>
        <w:rPr>
          <w:rFonts w:ascii="Times New Roman" w:cs="Times New Roman" w:eastAsia="Times New Roman" w:hAnsi="Times New Roman"/>
          <w:sz w:val="18"/>
          <w:szCs w:val="18"/>
          <w:u w:val="single" w:color="auto"/>
          <w:color w:val="auto"/>
        </w:rPr>
        <w:t>https://www.sandisk.com/company/corporate-responsibility/resource-center</w:t>
      </w:r>
      <w:r>
        <w:rPr>
          <w:rFonts w:ascii="Times New Roman" w:cs="Times New Roman" w:eastAsia="Times New Roman" w:hAnsi="Times New Roman"/>
          <w:sz w:val="18"/>
          <w:szCs w:val="18"/>
          <w:color w:val="auto"/>
        </w:rPr>
        <w:t xml:space="preserve"> and is distributed electronically to supplier-facing employees and all suppliers of materials that we believe contain 3TG.</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ind w:left="439" w:right="60" w:hanging="439"/>
        <w:spacing w:after="0" w:line="258"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utilize the RMI’s Conflict Minerals Reporting Template to identify smelters and refiners in our supply chain. We request in-scope suppliers to complete the Conflict Minerals Reporting Template in order to provide information concerning the usage and source of 3TG in their components, parts and products, as well as information concerning their related due diligence and compliance efforts. We encourage our suppliers to consult the information contained on the RMI website and to participate in appropriate third-party training to enhance the accuracy and quality of the information that they provide to us.</w:t>
      </w:r>
    </w:p>
    <w:p>
      <w:pPr>
        <w:spacing w:after="0" w:line="88" w:lineRule="exact"/>
        <w:rPr>
          <w:rFonts w:ascii="Times New Roman" w:cs="Times New Roman" w:eastAsia="Times New Roman" w:hAnsi="Times New Roman"/>
          <w:sz w:val="18"/>
          <w:szCs w:val="18"/>
          <w:color w:val="auto"/>
        </w:rPr>
      </w:pPr>
    </w:p>
    <w:p>
      <w:pPr>
        <w:ind w:left="439" w:right="100" w:hanging="439"/>
        <w:spacing w:after="0" w:line="261"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engaged with the RBA and the RMI through our participation in working groups and with the RMI’s smelter engagement teams (“SETs”), which engage in outreach with existing and new smelters and refiners to encourage them to participate in audit processes. Our membership in the RBA and the RMI allows us to stay abreast of regulatory guidance and further align our internal procedures with industry best practices.</w:t>
      </w:r>
    </w:p>
    <w:p>
      <w:pPr>
        <w:spacing w:after="0" w:line="85" w:lineRule="exact"/>
        <w:rPr>
          <w:rFonts w:ascii="Times New Roman" w:cs="Times New Roman" w:eastAsia="Times New Roman" w:hAnsi="Times New Roman"/>
          <w:sz w:val="18"/>
          <w:szCs w:val="18"/>
          <w:color w:val="auto"/>
        </w:rPr>
      </w:pPr>
    </w:p>
    <w:p>
      <w:pPr>
        <w:ind w:left="439" w:right="580" w:hanging="439"/>
        <w:spacing w:after="0" w:line="282"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procedures to maintain business records relating to 3TG due diligence, including records of due diligence processes, findings and resulting decisions, on a computerized database for at least six years.</w:t>
      </w:r>
    </w:p>
    <w:p>
      <w:pPr>
        <w:spacing w:after="0" w:line="67" w:lineRule="exact"/>
        <w:rPr>
          <w:rFonts w:ascii="Times New Roman" w:cs="Times New Roman" w:eastAsia="Times New Roman" w:hAnsi="Times New Roman"/>
          <w:sz w:val="18"/>
          <w:szCs w:val="18"/>
          <w:color w:val="auto"/>
        </w:rPr>
      </w:pPr>
    </w:p>
    <w:p>
      <w:pPr>
        <w:ind w:left="439" w:right="20" w:hanging="439"/>
        <w:spacing w:after="0" w:line="261"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forms of purchase order terms and conditions, as well as our component purchase agreements with suppliers, contain a requirement that our suppliers comply with environmental specifications for materials, components and products, which specifically require 3TG to be DRC conflict free and reference the RBA Code of Conduct, which requires the responsible sourcing of minerals generally.</w:t>
      </w:r>
    </w:p>
    <w:p>
      <w:pPr>
        <w:spacing w:after="0" w:line="85" w:lineRule="exact"/>
        <w:rPr>
          <w:rFonts w:ascii="Times New Roman" w:cs="Times New Roman" w:eastAsia="Times New Roman" w:hAnsi="Times New Roman"/>
          <w:sz w:val="18"/>
          <w:szCs w:val="18"/>
          <w:color w:val="auto"/>
        </w:rPr>
      </w:pPr>
    </w:p>
    <w:p>
      <w:pPr>
        <w:ind w:left="439" w:hanging="439"/>
        <w:spacing w:after="0" w:line="261"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 selected supplier policies to determine whether they call or advocate for an embargo of 3TG from Covered Countries. Policies were selected for review based on the information provided by suppliers in their Conflict Minerals Reporting Templates. If any reviewed suppliers were suspected of embargoing Covered Countries, we followed up with such suppliers to urge them to amend their policies.</w:t>
      </w:r>
    </w:p>
    <w:p>
      <w:pPr>
        <w:spacing w:after="0" w:line="85" w:lineRule="exact"/>
        <w:rPr>
          <w:rFonts w:ascii="Times New Roman" w:cs="Times New Roman" w:eastAsia="Times New Roman" w:hAnsi="Times New Roman"/>
          <w:sz w:val="18"/>
          <w:szCs w:val="18"/>
          <w:color w:val="auto"/>
        </w:rPr>
      </w:pPr>
    </w:p>
    <w:p>
      <w:pPr>
        <w:ind w:left="439" w:right="340" w:hanging="439"/>
        <w:spacing w:after="0" w:line="282"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annual dissemination of the Conflict Minerals Reporting Template, we provide all in-scope suppliers with a copy of our Responsible Minerals Policy and indicate third-party resources that they can refer to for additional information.</w:t>
      </w:r>
    </w:p>
    <w:p>
      <w:pPr>
        <w:spacing w:after="0" w:line="67" w:lineRule="exact"/>
        <w:rPr>
          <w:rFonts w:ascii="Times New Roman" w:cs="Times New Roman" w:eastAsia="Times New Roman" w:hAnsi="Times New Roman"/>
          <w:sz w:val="18"/>
          <w:szCs w:val="18"/>
          <w:color w:val="auto"/>
        </w:rPr>
      </w:pPr>
    </w:p>
    <w:p>
      <w:pPr>
        <w:ind w:left="439" w:right="60" w:hanging="439"/>
        <w:spacing w:after="0" w:line="266"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discuss our assessment of our suppliers’ conflict minerals responses during our supplier business reviews. In addition, we maintain supplier risk profiles, which include risk indicators and smelter risk for all in-scope suppliers. We request that our suppliers follow these same procedures in their supply chain.</w:t>
      </w:r>
    </w:p>
    <w:p>
      <w:pPr>
        <w:spacing w:after="0" w:line="81" w:lineRule="exact"/>
        <w:rPr>
          <w:rFonts w:ascii="Times New Roman" w:cs="Times New Roman" w:eastAsia="Times New Roman" w:hAnsi="Times New Roman"/>
          <w:sz w:val="18"/>
          <w:szCs w:val="18"/>
          <w:color w:val="auto"/>
        </w:rPr>
      </w:pPr>
    </w:p>
    <w:p>
      <w:pPr>
        <w:ind w:left="439" w:right="120" w:hanging="439"/>
        <w:spacing w:after="0" w:line="255" w:lineRule="auto"/>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grievance mechanism, we have a third-party managed Ethics Helpline available for employees, suppliers and other interested parties to report potential violations of our Responsible Minerals Policy. We communicate to these stakeholders the availability of our Ethics Helpline for reporting potential violations of our company policies, which include our Responsible Minerals Policy. Our Ethics Helpline operates 24 hours a day via an online portal available in nine languages at </w:t>
      </w:r>
      <w:r>
        <w:rPr>
          <w:rFonts w:ascii="Times New Roman" w:cs="Times New Roman" w:eastAsia="Times New Roman" w:hAnsi="Times New Roman"/>
          <w:sz w:val="18"/>
          <w:szCs w:val="18"/>
          <w:u w:val="single" w:color="auto"/>
          <w:color w:val="auto"/>
        </w:rPr>
        <w:t>www.sandiskethicshelpline.com</w:t>
      </w:r>
      <w:r>
        <w:rPr>
          <w:rFonts w:ascii="Times New Roman" w:cs="Times New Roman" w:eastAsia="Times New Roman" w:hAnsi="Times New Roman"/>
          <w:sz w:val="18"/>
          <w:szCs w:val="18"/>
          <w:color w:val="auto"/>
        </w:rPr>
        <w:t xml:space="preserve"> and trained telephone operators who collectively speak more than 150 languages. A link to make a report online is also included in our Responsible Minerals Policy. It is our policy that if concerns about our 3TG sourcing or potential violations were to be reported, we would investigate appropriately.</w:t>
      </w:r>
    </w:p>
    <w:p>
      <w:pPr>
        <w:spacing w:after="0" w:line="121"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39"/>
          </w:cols>
          <w:pgMar w:left="1421" w:top="270" w:right="439" w:bottom="1440" w:gutter="0" w:footer="0" w:header="0"/>
        </w:sectPr>
      </w:pPr>
    </w:p>
    <w:bookmarkStart w:id="7" w:name="page8"/>
    <w:bookmarkEnd w:id="7"/>
    <w:p>
      <w:pPr>
        <w:ind w:left="540" w:hanging="532"/>
        <w:spacing w:after="0"/>
        <w:tabs>
          <w:tab w:leader="none" w:pos="5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OECD Step #2: Identify and assess risk in the supply chain</w:t>
      </w:r>
    </w:p>
    <w:p>
      <w:pPr>
        <w:spacing w:after="0" w:line="132" w:lineRule="exact"/>
        <w:rPr>
          <w:rFonts w:ascii="Times New Roman" w:cs="Times New Roman" w:eastAsia="Times New Roman" w:hAnsi="Times New Roman"/>
          <w:sz w:val="18"/>
          <w:szCs w:val="18"/>
          <w:i w:val="1"/>
          <w:iCs w:val="1"/>
          <w:color w:val="auto"/>
        </w:rPr>
      </w:pPr>
    </w:p>
    <w:p>
      <w:pPr>
        <w:ind w:left="1000" w:right="60" w:hanging="439"/>
        <w:spacing w:after="0" w:line="254"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sent requests to all of our suppliers that we identified as having provided us with components, parts or products containing 3TG, or that we believe may have provided us with components, parts or products containing 3TG, in the calendar year ended December 31, 2025, and asked them to provide us with a completed Conflict Minerals Reporting Template. We requested that our suppliers furnish us with a completed template at the product level (i.e., specific to the products that they sold to us, rather than pertaining to the products sold to all of their customers). We managed our follow-up process through a compliance software program, and suppliers that did not respond to the request for a completed Conflict Minerals Reporting Template received follow-up emails until it was completed. We also provide one-on-one technical training via conference call as necessary to help suppliers complete the Conflict Minerals Reporting Template.</w:t>
      </w:r>
    </w:p>
    <w:p>
      <w:pPr>
        <w:spacing w:after="0" w:line="97" w:lineRule="exact"/>
        <w:rPr>
          <w:rFonts w:ascii="Times New Roman" w:cs="Times New Roman" w:eastAsia="Times New Roman" w:hAnsi="Times New Roman"/>
          <w:sz w:val="18"/>
          <w:szCs w:val="18"/>
          <w:color w:val="auto"/>
        </w:rPr>
      </w:pPr>
    </w:p>
    <w:p>
      <w:pPr>
        <w:ind w:left="1000" w:right="20" w:hanging="439"/>
        <w:spacing w:after="0" w:line="258"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supplier on-boarding process, we required that new suppliers acknowledge and comply with our Responsible Minerals Policy before we made purchases from them. Next, we asked the supplier to complete a Conflict Minerals Reporting Template or otherwise made inquiries concerning the 3TG content of the components, parts and/or products we are purchasing to determine whether they are in-scope suppliers for purposes of our conflict minerals program. We continue to survey suppliers annually thereafter if they are identified as an in-scope supplier.</w:t>
      </w:r>
    </w:p>
    <w:p>
      <w:pPr>
        <w:spacing w:after="0" w:line="88" w:lineRule="exact"/>
        <w:rPr>
          <w:rFonts w:ascii="Times New Roman" w:cs="Times New Roman" w:eastAsia="Times New Roman" w:hAnsi="Times New Roman"/>
          <w:sz w:val="18"/>
          <w:szCs w:val="18"/>
          <w:color w:val="auto"/>
        </w:rPr>
      </w:pPr>
    </w:p>
    <w:p>
      <w:pPr>
        <w:ind w:left="1000" w:right="40" w:hanging="439"/>
        <w:spacing w:after="0" w:line="256"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Reporting Templates are sorted in the compliance software program based on our internally-approved review criteria, which identifies “red flags” such as incomplete responses, potential errors, inaccuracies and potential Covered Country sourcing. As part of our review, we checked whether smelters and refiners disclosed by suppliers processed the types of metals contained in the components, parts and products sourced from those suppliers. We followed up by email or phone with suppliers that submitted a response that contained red flags or that otherwise provided a written response we determined to be unsuitable. We followed up with other suppliers as we deemed appropriate.</w:t>
      </w:r>
    </w:p>
    <w:p>
      <w:pPr>
        <w:spacing w:after="0" w:line="92" w:lineRule="exact"/>
        <w:rPr>
          <w:rFonts w:ascii="Times New Roman" w:cs="Times New Roman" w:eastAsia="Times New Roman" w:hAnsi="Times New Roman"/>
          <w:sz w:val="18"/>
          <w:szCs w:val="18"/>
          <w:color w:val="auto"/>
        </w:rPr>
      </w:pPr>
    </w:p>
    <w:p>
      <w:pPr>
        <w:ind w:left="1000" w:right="80" w:hanging="439"/>
        <w:spacing w:after="0" w:line="258"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the smelters and refiners identified by our suppliers against those contained on the Smelter Look-up tab list of the Conflict Minerals Reporting Template and those referenced in the RMI facility database. To the extent that they were not on that list or included in the database, we (a) requested that the supplier confirm that the listed entity is a smelter or refiner and/or (b) through publicly available information, attempted to determine whether the listed entity is a smelter or refiner and whether it has ceased operations.</w:t>
      </w:r>
    </w:p>
    <w:p>
      <w:pPr>
        <w:spacing w:after="0" w:line="88" w:lineRule="exact"/>
        <w:rPr>
          <w:rFonts w:ascii="Times New Roman" w:cs="Times New Roman" w:eastAsia="Times New Roman" w:hAnsi="Times New Roman"/>
          <w:sz w:val="18"/>
          <w:szCs w:val="18"/>
          <w:color w:val="auto"/>
        </w:rPr>
      </w:pPr>
    </w:p>
    <w:p>
      <w:pPr>
        <w:ind w:left="1000" w:hanging="439"/>
        <w:spacing w:after="0" w:line="274" w:lineRule="auto"/>
        <w:tabs>
          <w:tab w:leader="none" w:pos="10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completed Conflict Minerals Reporting Template from a supplier identified a smelter or refiner, we also reviewed that information against the lists of conformant and active (or the equivalent) smelters and refiners and country of origin information published by the RMI. When a completed Conflict Minerals Reporting Template from a supplier identified a smelter or refiner that was not listed as conformant or active (or the equivalent) by these independent third-parties, we consulted information that the RMI makes available to its members to attempt to determine whether that smelter or refiner obtained 3TG from sources that directly or indirectly financed or benefitted armed groups in a Covered Country and whether those smelters and refiners have ceased operations.</w:t>
      </w:r>
    </w:p>
    <w:p>
      <w:pPr>
        <w:spacing w:after="0" w:line="78" w:lineRule="exact"/>
        <w:rPr>
          <w:rFonts w:ascii="Times New Roman" w:cs="Times New Roman" w:eastAsia="Times New Roman" w:hAnsi="Times New Roman"/>
          <w:sz w:val="17"/>
          <w:szCs w:val="17"/>
          <w:color w:val="auto"/>
        </w:rPr>
      </w:pPr>
    </w:p>
    <w:p>
      <w:pPr>
        <w:ind w:left="1000" w:right="40" w:hanging="439"/>
        <w:spacing w:after="0" w:line="266"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are categorized by internally-developed supplier risk levels, which assign risk across multiple criteria, including smelter or refiner status, red flags identified and the supplier relationship. Suppliers that are identified as being in higher risk categories are escalated in accordance with our risk mitigation procedures, which are described below.</w:t>
      </w:r>
    </w:p>
    <w:p>
      <w:pPr>
        <w:spacing w:after="0" w:line="81" w:lineRule="exact"/>
        <w:rPr>
          <w:rFonts w:ascii="Times New Roman" w:cs="Times New Roman" w:eastAsia="Times New Roman" w:hAnsi="Times New Roman"/>
          <w:sz w:val="18"/>
          <w:szCs w:val="18"/>
          <w:color w:val="auto"/>
        </w:rPr>
      </w:pPr>
    </w:p>
    <w:p>
      <w:pPr>
        <w:ind w:left="1000" w:right="160" w:hanging="439"/>
        <w:spacing w:after="0" w:line="261"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participation in the RMI’s SETs, we worked to research and reach out to certain entities that have been referred to as smelters or refiners but that are not known to fit the RMI’s definition of a smelter or refiner under the RMAP standard (“alleged smelter or refiner”) to identify whether such alleged smelters or refiners meet the definition of smelter or refiner and should be referred to the RMI for consideration to be added to the RMI program.</w:t>
      </w:r>
    </w:p>
    <w:p>
      <w:pPr>
        <w:spacing w:after="0" w:line="85"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compliance procedures and reporting metrics are refined regularly to better ensure we are effectively using program resources and collecting data that is useful to assessing and mitigating risk.</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68" w:right="459" w:bottom="1440" w:gutter="0" w:footer="0" w:header="0"/>
        </w:sectPr>
      </w:pPr>
    </w:p>
    <w:bookmarkStart w:id="8" w:name="page9"/>
    <w:bookmarkEnd w:id="8"/>
    <w:p>
      <w:pPr>
        <w:ind w:left="540" w:hanging="532"/>
        <w:spacing w:after="0"/>
        <w:tabs>
          <w:tab w:leader="none" w:pos="5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OECD Step #3: Design and implement a strategy to respond to identified risks</w:t>
      </w:r>
    </w:p>
    <w:p>
      <w:pPr>
        <w:spacing w:after="0" w:line="132" w:lineRule="exact"/>
        <w:rPr>
          <w:rFonts w:ascii="Times New Roman" w:cs="Times New Roman" w:eastAsia="Times New Roman" w:hAnsi="Times New Roman"/>
          <w:sz w:val="18"/>
          <w:szCs w:val="18"/>
          <w:i w:val="1"/>
          <w:iCs w:val="1"/>
          <w:color w:val="auto"/>
        </w:rPr>
      </w:pPr>
    </w:p>
    <w:p>
      <w:pPr>
        <w:ind w:left="1000" w:hanging="439"/>
        <w:spacing w:after="0" w:line="254"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 risk management plan that includes due diligence reviews of relevant suppliers and smelters or refiners. Pursuant to this plan, we establish a timeline and monitoring program to address any supplier whose response contained red flags or whose response was otherwise determined to be unsuitable. An action plan to address the risk is then executed with the supplier and internal stakeholders, which may include reaching out and working directly or indirectly with the supplier, smelter, customer or other companies within industry working groups to mitigate the risk. We subsequently follow-up with the supplier to review the implementation of the action plan until the smelter is returned to conformant status by the RMI or until all impacted suppliers have responded. The findings of our compliance efforts in 2025 were also reported to senior personnel at our Company, including leadership for our 3TG compliance program, and the Audit Committee of the Board of Directors.</w:t>
      </w:r>
    </w:p>
    <w:p>
      <w:pPr>
        <w:spacing w:after="0" w:line="97" w:lineRule="exact"/>
        <w:rPr>
          <w:rFonts w:ascii="Times New Roman" w:cs="Times New Roman" w:eastAsia="Times New Roman" w:hAnsi="Times New Roman"/>
          <w:sz w:val="18"/>
          <w:szCs w:val="18"/>
          <w:color w:val="auto"/>
        </w:rPr>
      </w:pPr>
    </w:p>
    <w:p>
      <w:pPr>
        <w:ind w:left="1000" w:right="100" w:hanging="439"/>
        <w:spacing w:after="0" w:line="261"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written risk management procedures, pursuant to which we sent requests to higher management levels in certain suppliers’ organizations where it was deemed advisable to encourage them to respond to our inquiries and to help incentivize suppliers to cooperate with our requests. Our risk management procedures provide for increasing levels of escalation to specified internal personnel and allow for a flexible response that is commensurate with the risks identified.</w:t>
      </w:r>
    </w:p>
    <w:p>
      <w:pPr>
        <w:spacing w:after="0" w:line="85" w:lineRule="exact"/>
        <w:rPr>
          <w:rFonts w:ascii="Times New Roman" w:cs="Times New Roman" w:eastAsia="Times New Roman" w:hAnsi="Times New Roman"/>
          <w:sz w:val="18"/>
          <w:szCs w:val="18"/>
          <w:color w:val="auto"/>
        </w:rPr>
      </w:pPr>
    </w:p>
    <w:p>
      <w:pPr>
        <w:ind w:left="1000" w:right="20" w:hanging="439"/>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identified smelters and refiners were, according to the RMI information, neither conformant nor active, we worked through the RMI’s SETs to encourage such smelters and refiners to become conformant, except where the smelters or refiners have, according to the RMI information, permanently or temporarily ceased operations.</w:t>
      </w:r>
    </w:p>
    <w:p>
      <w:pPr>
        <w:spacing w:after="0" w:line="81" w:lineRule="exact"/>
        <w:rPr>
          <w:rFonts w:ascii="Times New Roman" w:cs="Times New Roman" w:eastAsia="Times New Roman" w:hAnsi="Times New Roman"/>
          <w:sz w:val="18"/>
          <w:szCs w:val="18"/>
          <w:color w:val="auto"/>
        </w:rPr>
      </w:pPr>
    </w:p>
    <w:p>
      <w:pPr>
        <w:ind w:left="1000" w:hanging="439"/>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participation in the RMI’s SETs, we worked together with the RMI and other RMI member companies and determined the single point of contact with certain smelters and refiners, and in such role we reached out to certain of our existing tungsten and tin smelters to encourage them to continue participating in independent third-party audits under the RMI program.</w:t>
      </w:r>
    </w:p>
    <w:p>
      <w:pPr>
        <w:spacing w:after="0" w:line="81" w:lineRule="exact"/>
        <w:rPr>
          <w:rFonts w:ascii="Times New Roman" w:cs="Times New Roman" w:eastAsia="Times New Roman" w:hAnsi="Times New Roman"/>
          <w:sz w:val="18"/>
          <w:szCs w:val="18"/>
          <w:color w:val="auto"/>
        </w:rPr>
      </w:pPr>
    </w:p>
    <w:p>
      <w:pPr>
        <w:ind w:left="1000" w:right="240" w:hanging="43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information provided by the RMI to its members to monitor smelter and refiner improvement. We urge our suppliers to transition to exclusively sourcing from conformant smelters and refiners and monitored their progress toward that objective.</w:t>
      </w:r>
    </w:p>
    <w:p>
      <w:pPr>
        <w:spacing w:after="0" w:line="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#4: Carry out independent third-party audits of supply chain due diligence at identified points in the supply chain</w:t>
      </w:r>
    </w:p>
    <w:p>
      <w:pPr>
        <w:spacing w:after="0" w:line="132" w:lineRule="exact"/>
        <w:rPr>
          <w:rFonts w:ascii="Times New Roman" w:cs="Times New Roman" w:eastAsia="Times New Roman" w:hAnsi="Times New Roman"/>
          <w:sz w:val="18"/>
          <w:szCs w:val="18"/>
          <w:i w:val="1"/>
          <w:iCs w:val="1"/>
          <w:color w:val="auto"/>
        </w:rPr>
      </w:pPr>
    </w:p>
    <w:p>
      <w:pPr>
        <w:ind w:left="1000" w:right="180" w:hanging="439"/>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due diligence, we utilize and rely on information made available by the RMI concerning independent third-party audits of smelters and refiners to assess smelter and refiner due diligence and to determine whether the smelter or refiner is conformant.</w:t>
      </w:r>
    </w:p>
    <w:p>
      <w:pPr>
        <w:spacing w:after="0" w:line="81" w:lineRule="exact"/>
        <w:rPr>
          <w:rFonts w:ascii="Times New Roman" w:cs="Times New Roman" w:eastAsia="Times New Roman" w:hAnsi="Times New Roman"/>
          <w:sz w:val="18"/>
          <w:szCs w:val="18"/>
          <w:color w:val="auto"/>
        </w:rPr>
      </w:pPr>
    </w:p>
    <w:p>
      <w:pPr>
        <w:ind w:left="1000" w:right="180" w:hanging="439"/>
        <w:spacing w:after="0" w:line="261"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support independent third-party audits of smelters and refiners through our membership in the RMI. In addition, certain of our personnel were members of or participated in various RMI committees, including the SETs. We also directly or indirectly engaged with 3 smelters or refiners in our supply chain and urged them to participate in a Responsible Mineral Assurance Process program.</w:t>
      </w:r>
    </w:p>
    <w:p>
      <w:pPr>
        <w:spacing w:after="0" w:line="8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OECD Step #5: Report annually on supply chain due diligence</w:t>
      </w:r>
    </w:p>
    <w:p>
      <w:pPr>
        <w:spacing w:after="0" w:line="119" w:lineRule="exact"/>
        <w:rPr>
          <w:rFonts w:ascii="Times New Roman" w:cs="Times New Roman" w:eastAsia="Times New Roman" w:hAnsi="Times New Roman"/>
          <w:sz w:val="18"/>
          <w:szCs w:val="18"/>
          <w:i w:val="1"/>
          <w:iCs w:val="1"/>
          <w:color w:val="auto"/>
        </w:rPr>
      </w:pPr>
    </w:p>
    <w:p>
      <w:pPr>
        <w:ind w:left="560" w:right="2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Following our separation from Western Digital, we will file a Form SD each year and, to the extent applicable, a Conflict Minerals Report, with the Securities and Exchange Commission (the “SEC”) and will make them available on our website at: </w:t>
      </w:r>
      <w:r>
        <w:rPr>
          <w:rFonts w:ascii="Times New Roman" w:cs="Times New Roman" w:eastAsia="Times New Roman" w:hAnsi="Times New Roman"/>
          <w:sz w:val="18"/>
          <w:szCs w:val="18"/>
          <w:u w:val="single" w:color="auto"/>
          <w:color w:val="auto"/>
        </w:rPr>
        <w:t>https://investor.sandisk.com/financial-information/sec-filings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68" w:right="4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2025, our in-scope product categories were: (1) solid-state drives; (2) NAND-flash storage devices; (3) direct attached storage solutions;</w:t>
      </w:r>
    </w:p>
    <w:p>
      <w:pPr>
        <w:spacing w:after="0" w:line="27" w:lineRule="exact"/>
        <w:rPr>
          <w:sz w:val="20"/>
          <w:szCs w:val="20"/>
          <w:color w:val="auto"/>
        </w:rPr>
      </w:pPr>
    </w:p>
    <w:p>
      <w:pPr>
        <w:ind w:left="4" w:right="80" w:hanging="4"/>
        <w:spacing w:after="0" w:line="255"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cloud network attached storage solutions; and (5) public and private cloud data center storage solutions. For a further discussion of our products, see our Annual Report on Form 10-K for the fiscal year ended June 27, 2025 and our other filings with the SEC. The information contained in our Form 10-K and our other SEC filings is not incorporated by reference into, or a part of, this Conflict Minerals Report.</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Results of Review</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As described above, we conducted due diligence to determine the source and chain of custody of the necessary 3TG in our products. As part of that process, we actively surveyed our direct suppliers that we believed potentially supplied us with products, materials or components containing necessary 3TG during 2025 and requested that they disclose the smelters and refiners that processed the necessary 3TG in the products they supplied to us in 2025. For calendar year 2025, we received completed Conflict Minerals Reporting Templates from 100% of the suppliers surveyed.</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Facilities Used to Process the Necessary 3TG in Our Products</w:t>
      </w:r>
    </w:p>
    <w:p>
      <w:pPr>
        <w:spacing w:after="0" w:line="11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For calendar year 2025, our suppliers identified to us the smelters and refiners listed on Annex A as those smelters and refiners that may have processed the necessary 3TG contained in our products. Of the 235 smelters and refiners identified, 223 were identified by the RMI as “conformant” and 2 were identified by the RMI as “active” and 1 was identified by the RMI as “In Communication” and 9 were identified by the RMI as “non-conformant”. These 235 smelters and refiners may not be all of the smelters and refiners in our 2025 supply chain because some of our suppliers were unable to identify all of the smelters and refiners used to process the necessary 3TG content contained in our products. Due to our position in the supply chain, which is discussed above, we rely on our suppliers for complete and accurate smelter and refiner information. Therefore, our due diligence measures cannot provide absolute certainty regarding the source and chain of custody of the necessary 3TG contained in our 2025 products.</w:t>
      </w:r>
    </w:p>
    <w:p>
      <w:pPr>
        <w:spacing w:after="0" w:line="189"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the smelter and refiner information contained in Annex A. Please see the notes accompanying Annex A for additional information relevant to the table below.</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Smelter and Refiner and Country of Origin Information (1)(2)</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Conformant</w:t>
            </w:r>
          </w:p>
        </w:tc>
        <w:tc>
          <w:tcPr>
            <w:tcW w:w="74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800" w:type="dxa"/>
            <w:vAlign w:val="bottom"/>
          </w:tcPr>
          <w:p>
            <w:pPr>
              <w:jc w:val="center"/>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Likely</w:t>
            </w: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Not Likely</w:t>
            </w: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8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Sourced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Sourced</w:t>
            </w:r>
          </w:p>
        </w:tc>
        <w:tc>
          <w:tcPr>
            <w:tcW w:w="960" w:type="dxa"/>
            <w:vAlign w:val="bottom"/>
          </w:tcPr>
          <w:p>
            <w:pPr>
              <w:spacing w:after="0"/>
              <w:rPr>
                <w:sz w:val="12"/>
                <w:szCs w:val="12"/>
                <w:color w:val="auto"/>
              </w:rPr>
            </w:pPr>
          </w:p>
        </w:tc>
        <w:tc>
          <w:tcPr>
            <w:tcW w:w="740" w:type="dxa"/>
            <w:vAlign w:val="bottom"/>
            <w:vMerge w:val="restart"/>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rPr>
              <w:t>100%</w:t>
            </w:r>
          </w:p>
        </w:tc>
        <w:tc>
          <w:tcPr>
            <w:tcW w:w="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80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7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80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Covered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Covered</w:t>
            </w:r>
          </w:p>
        </w:tc>
        <w:tc>
          <w:tcPr>
            <w:tcW w:w="960" w:type="dxa"/>
            <w:vAlign w:val="bottom"/>
            <w:vMerge w:val="continue"/>
          </w:tcPr>
          <w:p>
            <w:pPr>
              <w:spacing w:after="0"/>
              <w:rPr>
                <w:sz w:val="12"/>
                <w:szCs w:val="12"/>
                <w:color w:val="auto"/>
              </w:rPr>
            </w:pPr>
          </w:p>
        </w:tc>
        <w:tc>
          <w:tcPr>
            <w:tcW w:w="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Recycled</w:t>
            </w:r>
          </w:p>
        </w:tc>
        <w:tc>
          <w:tcPr>
            <w:tcW w:w="960" w:type="dxa"/>
            <w:vAlign w:val="bottom"/>
            <w:vMerge w:val="restart"/>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380" w:type="dxa"/>
            <w:vAlign w:val="bottom"/>
            <w:vMerge w:val="continue"/>
          </w:tcPr>
          <w:p>
            <w:pPr>
              <w:spacing w:after="0"/>
              <w:rPr>
                <w:sz w:val="12"/>
                <w:szCs w:val="12"/>
                <w:color w:val="auto"/>
              </w:rPr>
            </w:pPr>
          </w:p>
        </w:tc>
        <w:tc>
          <w:tcPr>
            <w:tcW w:w="1260" w:type="dxa"/>
            <w:vAlign w:val="bottom"/>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Non-Conformant</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Disclosed</w:t>
            </w: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or Scrap</w:t>
            </w:r>
          </w:p>
        </w:tc>
        <w:tc>
          <w:tcPr>
            <w:tcW w:w="960" w:type="dxa"/>
            <w:vAlign w:val="bottom"/>
            <w:vMerge w:val="continue"/>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Communication</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Tantalum</w:t>
            </w:r>
          </w:p>
        </w:tc>
        <w:tc>
          <w:tcPr>
            <w:tcW w:w="8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88"/>
              </w:rPr>
              <w:t>1</w:t>
            </w:r>
          </w:p>
        </w:tc>
        <w:tc>
          <w:tcPr>
            <w:tcW w:w="96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4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8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88"/>
              </w:rPr>
              <w:t>1</w:t>
            </w:r>
          </w:p>
        </w:tc>
        <w:tc>
          <w:tcPr>
            <w:tcW w:w="96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40" w:type="dxa"/>
            <w:vAlign w:val="bottom"/>
          </w:tcPr>
          <w:p>
            <w:pPr>
              <w:jc w:val="center"/>
              <w:ind w:left="118"/>
              <w:spacing w:after="0"/>
              <w:rPr>
                <w:sz w:val="20"/>
                <w:szCs w:val="20"/>
                <w:color w:val="auto"/>
              </w:rPr>
            </w:pPr>
            <w:r>
              <w:rPr>
                <w:rFonts w:ascii="Times New Roman" w:cs="Times New Roman" w:eastAsia="Times New Roman" w:hAnsi="Times New Roman"/>
                <w:sz w:val="18"/>
                <w:szCs w:val="18"/>
                <w:color w:val="auto"/>
                <w:w w:val="99"/>
              </w:rPr>
              <w:t>13</w:t>
            </w:r>
          </w:p>
        </w:tc>
        <w:tc>
          <w:tcPr>
            <w:tcW w:w="9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smelter or refiner sourced from multiple sources, it is included in the table under each applicable category.</w:t>
      </w:r>
    </w:p>
    <w:p>
      <w:pPr>
        <w:spacing w:after="0" w:line="27" w:lineRule="exact"/>
        <w:rPr>
          <w:rFonts w:ascii="Times New Roman" w:cs="Times New Roman" w:eastAsia="Times New Roman" w:hAnsi="Times New Roman"/>
          <w:sz w:val="18"/>
          <w:szCs w:val="18"/>
          <w:color w:val="auto"/>
        </w:rPr>
      </w:pPr>
    </w:p>
    <w:p>
      <w:pPr>
        <w:ind w:left="424" w:right="780" w:hanging="424"/>
        <w:spacing w:after="0" w:line="26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status information can change at any time. The RMI-provided smelter or refiner status information in the table is as of January 30, 2026.</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Country of Origin of the Necessary 3TG in Our Products</w:t>
      </w:r>
    </w:p>
    <w:p>
      <w:pPr>
        <w:spacing w:after="0" w:line="119"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We attempted to determine the countries of origin of the necessary 3TG in our products in reliance on country of origin information for smelters and refiners made available by the RMI to its members. However, except for the DRC, the RMI does not name specific countries of origin of the 3TG processed by conformant smelters and refiners.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Instead, the RMI indicates the smelter’s direct sourcing practice category. Annex B includes an aggregate list of the countries of origin from which these smelters may have sourced their 3TG, based on information provided by the RMI.</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Efforts to Determine the Mine or Location of Origin</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endeavored to determine the mine or location of origin of the necessary 3TG contained in our 2025 products by requesting that our suppliers provide us with a completed Conflict Minerals Reporting Template. Where a Conflict Minerals Reporting Template provided by a supplier identified a smelter or refiner, we also reviewed information made available by the RMI, to the extent available, to try to determine the mine or location of origin. Our suppliers’ responses and the RMI’s information did not provide sufficiently detailed information for us to determine the mine or location of origin of the necessary 3TG in our products for calendar year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Taken and to be Taken to Mitigate Risk and Improve Due Diligence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Following our separation from Western Digital, we have taken and currently intend to continue to take the following additional steps to mitigate the risk that the necessary 3TG in our products might benefit armed groups:</w:t>
      </w:r>
    </w:p>
    <w:p>
      <w:pPr>
        <w:spacing w:after="0" w:line="67" w:lineRule="exact"/>
        <w:rPr>
          <w:sz w:val="20"/>
          <w:szCs w:val="20"/>
          <w:color w:val="auto"/>
        </w:rPr>
      </w:pPr>
    </w:p>
    <w:p>
      <w:pPr>
        <w:ind w:left="960" w:right="38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our reasonable country of origin inquiry and due diligence procedures to align with the latest revision of the Conflict Minerals Reporting Template.</w:t>
      </w:r>
    </w:p>
    <w:p>
      <w:pPr>
        <w:spacing w:after="0" w:line="67"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developing our program to utilize the RMI’s e-learning platform with selected suppliers to enhance their knowledge about responsible minerals practices.</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update the conflict minerals portion of the supplier rating system used in our supplier business review to include recognition of suppliers that make conflict minerals policies publicly available to further disseminate responsible sourcing expectations throughout the supply chain.</w:t>
      </w:r>
    </w:p>
    <w:p>
      <w:pPr>
        <w:spacing w:after="0" w:line="81"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compliance software program to incorporate Reasonable Country of Origin Inquiry data to validate suppliers’ declarations in Conflict Minerals Reporting Templates.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in this Annex have the meanings set forth in the Conflict Minerals Report of which this Annex is a 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our reasonable country of origin inquiry or due diligence, as applicable, our suppliers identified to us the smelters and refiners listed below as those that may have processed the necessary 3TG contained in our products in 2025. Please see the notes that accompany the table for important information concerning the data in the table.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Smelter and Refiner Information </w:t>
      </w:r>
      <w:r>
        <w:rPr>
          <w:rFonts w:ascii="Times New Roman" w:cs="Times New Roman" w:eastAsia="Times New Roman" w:hAnsi="Times New Roman"/>
          <w:sz w:val="26"/>
          <w:szCs w:val="26"/>
          <w:b w:val="1"/>
          <w:bCs w:val="1"/>
          <w:color w:val="auto"/>
          <w:vertAlign w:val="superscript"/>
        </w:rPr>
        <w:t>(1)</w:t>
      </w:r>
    </w:p>
    <w:p>
      <w:pPr>
        <w:spacing w:after="0" w:line="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00"/>
          </w:cols>
          <w:pgMar w:left="440" w:top="266" w:right="5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Standard Smelter Name</w:t>
            </w:r>
          </w:p>
        </w:tc>
        <w:tc>
          <w:tcPr>
            <w:tcW w:w="3680" w:type="dxa"/>
            <w:vAlign w:val="bottom"/>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Country</w:t>
            </w:r>
          </w:p>
        </w:tc>
        <w:tc>
          <w:tcPr>
            <w:tcW w:w="2800" w:type="dxa"/>
            <w:vAlign w:val="bottom"/>
          </w:tcPr>
          <w:p>
            <w:pPr>
              <w:spacing w:after="0"/>
              <w:rPr>
                <w:sz w:val="15"/>
                <w:szCs w:val="15"/>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RMAP Audit Status</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4"/>
              </w:rPr>
              <w:t>Gold</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7"/>
              </w:rPr>
              <w:t>Ogussa Osterreichische</w:t>
            </w:r>
          </w:p>
        </w:tc>
        <w:tc>
          <w:tcPr>
            <w:tcW w:w="36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Gold- und Silber-Scheideanstalt GmbH</w:t>
            </w:r>
          </w:p>
        </w:tc>
        <w:tc>
          <w:tcPr>
            <w:tcW w:w="33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AUSTRIA</w:t>
            </w:r>
          </w:p>
        </w:tc>
        <w:tc>
          <w:tcPr>
            <w:tcW w:w="1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PT Masbro Alam Stania</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A.L.M.T. Corp.</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Agosi AG</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UZBEKISTAN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AMG Brasil</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Argor-Heraeus S.A.</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ASAHI METALFINE, Inc.</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Asahi Refining USA Inc.</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Asaka Riken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VIET NAM</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Aurubis AG</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Aurubis Beerse</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Aurubis Berango</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Bangalore Refinery</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Boliden Ronnskar</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 Hafner GmbH + Co. KG</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Chimet S.p.A.</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 Tin Group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Chugai Mining</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Coimpa Industrial LTDA</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CRM Synergies</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6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8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A-2</w:t>
            </w:r>
          </w:p>
        </w:tc>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440" w:top="263"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Cronimet Brasil Ltda</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BRAZIL</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CV Ayi Jaya</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 Block Metals, LLC</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Dowa</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Dowa</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DS Myanmar</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MYANMAR</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DSC (Do Sung Corporation)</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KOREA, REPUBLIC OF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Elite Industech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 Vinto</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Estanho de Rondonia S.A.</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BRAZIL</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Fabrica Auricchio</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BRAZIL</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Fenix Metals</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POLAND</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GG Refinery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AUSTRALIA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 by Gold Colombia</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COLOMBIA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H.C. Starck Tungsten GmbH</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Heimerle + Meule GmbH</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4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65"/>
        </w:trPr>
        <w:tc>
          <w:tcPr>
            <w:tcW w:w="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A-3</w:t>
            </w:r>
          </w:p>
        </w:tc>
        <w:tc>
          <w:tcPr>
            <w:tcW w:w="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440" w:top="270"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 AFRICA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 AFRICA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 AFRICA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Istanbul Gold Refinery</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TURKEY</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Italpreziosi</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ITALY</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 Mint</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 New Metals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Copper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Jiujiang Tanbre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Kazzinc</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KAZAKHSTAN</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KEMET de Mexico</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MEXICO</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VIET NAM</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Kennametal Fallon</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Kennametal Huntsville</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POLAND</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Kojima Chemicals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Korea Zinc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KOREA, REPUBLIC OF</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Lianyou Metals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LS MnM Inc.</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KOREA, REPUBLIC OF</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65"/>
        </w:trPr>
        <w:tc>
          <w:tcPr>
            <w:tcW w:w="880" w:type="dxa"/>
            <w:vAlign w:val="bottom"/>
          </w:tcPr>
          <w:p>
            <w:pPr>
              <w:spacing w:after="0"/>
              <w:rPr>
                <w:sz w:val="24"/>
                <w:szCs w:val="24"/>
                <w:color w:val="auto"/>
              </w:rPr>
            </w:pPr>
          </w:p>
        </w:tc>
        <w:tc>
          <w:tcPr>
            <w:tcW w:w="518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A-4</w:t>
            </w:r>
          </w:p>
        </w:tc>
        <w:tc>
          <w:tcPr>
            <w:tcW w:w="31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440" w:top="270"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 Metal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Luna Smelter,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RWANDA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Masan High-Tech Materials</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Materion</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Materion Newton Inc.</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Matsuda Sangyo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Metallic Resources, Inc.</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Metalor Technologies S.A.</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Mineracao Taboca S.A.</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Mineracao Taboca S.A.</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CONGO, DEMOCRATIC REPUBLIC OF</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w:t>
            </w:r>
          </w:p>
        </w:tc>
        <w:tc>
          <w:tcPr>
            <w:tcW w:w="1000" w:type="dxa"/>
            <w:vAlign w:val="bottom"/>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Minsur</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PERU</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MKS PAMP SA</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MMTC-PAMP India Pvt.,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TURKEY</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UZBEKISTAN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NH Recytech Company</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Niagara Refining LLC</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Nihon Material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NPM Silmet AS</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ESTONIA</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THAILAND</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4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65"/>
        </w:trPr>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A-5</w:t>
            </w:r>
          </w:p>
        </w:tc>
        <w:tc>
          <w:tcPr>
            <w:tcW w:w="1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440" w:top="270"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 Kay Metal, Inc</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PHILIPPINES</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PHILIPPINES</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CHILE</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PowerX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RWANDA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Arsed Indonesia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Bangka Prima Tin</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Cipta Persada Mulia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Mitra Stania Prima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Premium Tin Indonesia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Prima Timah Utama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Rajehan Ariq</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Timah Tbk Kundur</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Timah Tbk Mentok</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INDONESIA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PX Precinox S.A.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SWITZERLAND</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QuantumClean</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Rand Refinery (Pty)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SOUTH AFRICA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REMONDIS PMR B.V.</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NETHERLANDS</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 Canadian Mint</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CANADA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Rui Da Hung</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SAFINA A.S.</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CZECHIA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SPAIN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 Metais Ltda.</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4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65"/>
        </w:trPr>
        <w:tc>
          <w:tcPr>
            <w:tcW w:w="8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A-6</w:t>
            </w:r>
          </w:p>
        </w:tc>
        <w:tc>
          <w:tcPr>
            <w:tcW w:w="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440" w:top="270"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SungEel HiMetal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Super Ligas</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T.C.A S.p.A</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30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Taki Chemical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GmbH</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Japan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Telex Metals</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Thaisarco</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 Products Manufacturing Co.LTD. of YTCL</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Tokuriki Honten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TOO Tau-Ken-Altyn</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TRATHO Metal Quimica</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Valcambi S.A.</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UGANDA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Xiamen Tungsten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Yamakin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Yokohama Metal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65"/>
        </w:trPr>
        <w:tc>
          <w:tcPr>
            <w:tcW w:w="880" w:type="dxa"/>
            <w:vAlign w:val="bottom"/>
          </w:tcPr>
          <w:p>
            <w:pPr>
              <w:spacing w:after="0"/>
              <w:rPr>
                <w:sz w:val="24"/>
                <w:szCs w:val="24"/>
                <w:color w:val="auto"/>
              </w:rPr>
            </w:pPr>
          </w:p>
        </w:tc>
        <w:tc>
          <w:tcPr>
            <w:tcW w:w="52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A-7</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440" w:top="270"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8" w:name="page19"/>
    <w:bookmarkEnd w:id="18"/>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In Communication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88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 Brasil Ltda</w:t>
            </w:r>
          </w:p>
        </w:tc>
        <w:tc>
          <w:tcPr>
            <w:tcW w:w="26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88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 Branch</w:t>
            </w:r>
          </w:p>
        </w:tc>
        <w:tc>
          <w:tcPr>
            <w:tcW w:w="26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L’Orfebre S.A.</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ANDORRA</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Torecom</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WEEEREFINING</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Non-Conformant</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note the following in connection with the information contained in the foregoing table:</w:t>
      </w:r>
    </w:p>
    <w:p>
      <w:pPr>
        <w:spacing w:after="0" w:line="131" w:lineRule="exact"/>
        <w:rPr>
          <w:sz w:val="20"/>
          <w:szCs w:val="20"/>
          <w:color w:val="auto"/>
        </w:rPr>
      </w:pPr>
    </w:p>
    <w:p>
      <w:pPr>
        <w:ind w:left="960" w:right="60" w:hanging="532"/>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smelters and refiners listed in the table were identified by our suppliers as those that may be part of our 2025 supply chain, including those that sourced only recycled or scrap content. Some of our suppliers may have reported to us smelters and refiners that were not actually in our supply chain due to over-inclusiveness in the information received from their suppliers or for other reasons. In addition, the smelters and refiners reflected above may not be all of the smelters and refiners in our 2025 supply chain, because many of our suppliers were unable to identify all of the smelters and refiners used to process the necessary 3TG content contained in our products.</w:t>
      </w:r>
    </w:p>
    <w:p>
      <w:pPr>
        <w:spacing w:after="0" w:line="88"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only includes entities that were identified by our suppliers as those that may be part of our 2025 supply chain and that were listed as smelters or refiners by the RMI, as of January 30, 2026.</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status information can change at any time. The smelter or refiner status information in the table is provided by the RMI and is as of January 30, 2026.</w:t>
      </w:r>
    </w:p>
    <w:p>
      <w:pPr>
        <w:spacing w:after="0" w:line="67"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“Conformant” means that a smelter or refiner was listed as conformant with the Responsible Minerals Assurance Process’s (“RMAP”) assessment protocols, including through mutual recognition and those indicated as “re-audit in process.” Included smelters and refiners were not necessarily conformant for all or part of 2025 and may not continue to be conformant for any future period. We do not have information on the origin of the 3TG processed by any of the conformant smelters and refiners prior to their respective certification dates.</w:t>
      </w:r>
    </w:p>
    <w:p>
      <w:pPr>
        <w:spacing w:after="0" w:line="85"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means that the smelter or refiner is a participant in the RMAP and has committed to undergo an audit or is participating in a cross-recognized certification program.</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“Non-conformant” means that a smelter meets the definition of a smelter or refiner, is identified as an eligible smelter, has been audited but found not conformant under the RMAP standard, and is included in the CMRT Standard Smelter List.</w:t>
      </w:r>
    </w:p>
    <w:p>
      <w:pPr>
        <w:spacing w:after="0" w:line="67"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 means that a smelter or refiner is not certified pursuant to the RMAP but is in dialogue with the RMI regarding possible future participation in the RMAP.</w:t>
      </w:r>
    </w:p>
    <w:p>
      <w:pPr>
        <w:spacing w:after="0" w:line="67"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status reflected in the table is based solely on information made publicly available by the RMI, without independent verification by 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Countries of Origin:</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list of potential countries of origin is populated based on information available from the RMI. It is important to note that it is not certain which of these countries of origin can be linked to our products.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Albania, Algeria, Andorra, Angola, Anguilla, Antigua and Barbuda, Argentina, Aruba, Australia, Austria, Azerbaijan, Bahamas, Bangladesh, Barbados, Belarus, Belgium, Benin, Bolivia, Bosnia and Herzegovina, Botswana, Brazil, Bulgaria, Burkina Faso, Burundi, Cambodia, Cameroon, Canada, Cayman Islands, Chile, China, Chinese Taipei, Colombia, Costa Rica, Côte d’Ivoire, Croatia, Curacao, Cyprus, Czech Republic, Democratic Republic of the Congo, Denmark, Dominica, Dominican Republic, Ecuador, Egypt, El Salvador, Estonia, Eswatini, Ethiopia, Fiji, Finland, France, French Guiana, Georgia, Germany, Ghana, Greece, Grenada, Guatemala, Guinea, Guyana, Honduras, Hong Kong, Hungary, Iceland, India, Indonesia, Ireland, Israel, Italy, Jamaica, Japan, Jordan, Kazakhstan, Kenya, Kuwait, Kyrgyzstan, Lao People’s Democratic Republic, Laos, Latvia, Lebanon, Liberia, Liechtenstein, Lithuania, Luxembourg, Macao, Madagascar, Malaysia, Mali, Malta, Mauritania, Mexico, Monaco, Mongolia, Morocco, Mozambique, Myanmar, Namibia, Netherlands, New Caledonia, New Zealand, Nicaragua, Niger, Nigeria, Norway, Oman, Panama, Papua New Guinea, Peru, Philippines, Poland, Portugal, Puerto Rico, Republic of Korea, Republic of Moldova, Romania, Russia, Rwanda, Saint Kitts and Nevis, Saint Lucia, Saint Vincent and Grenadines, Saudi Arabia, Senegal, Serbia, Sierra Leone, Singapore, Sint Maarten, Solomon Islands, Slovakia, South Africa, South Korea, Spain, Sri Lanka, Sudan, Suriname, Sweden, Switzerland, Tajikistan, Tanzania, Thailand, Timor-Leste, Togo, Trinidad and Tobago, Tunisia, Turkey, Uganda, Ukraine, United Arab Emirates, United Kingdom, United States of America, Uruguay, Uzbekistan, Venezuela, Vietnam, Zambia, Zimbabwe.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lowerLetter"/>
      <w:start w:val="5"/>
    </w:lvl>
  </w:abstractNum>
  <w:abstractNum w:abstractNumId="6">
    <w:nsid w:val="12200854"/>
    <w:multiLevelType w:val="hybridMultilevel"/>
    <w:lvl w:ilvl="0">
      <w:lvlJc w:val="left"/>
      <w:lvlText w:val="%1."/>
      <w:numFmt w:val="decimal"/>
      <w:start w:val="2"/>
    </w:lvl>
    <w:lvl w:ilvl="1">
      <w:lvlJc w:val="left"/>
      <w:lvlText w:val="%2."/>
      <w:numFmt w:val="lowerLetter"/>
      <w:start w:val="1"/>
    </w:lvl>
  </w:abstractNum>
  <w:abstractNum w:abstractNumId="7">
    <w:nsid w:val="4DB127F8"/>
    <w:multiLevelType w:val="hybridMultilevel"/>
    <w:lvl w:ilvl="0">
      <w:lvlJc w:val="left"/>
      <w:lvlText w:val="%1."/>
      <w:numFmt w:val="decimal"/>
      <w:start w:val="3"/>
    </w:lvl>
    <w:lvl w:ilvl="1">
      <w:lvlJc w:val="left"/>
      <w:lvlText w:val="%2."/>
      <w:numFmt w:val="lowerLetter"/>
      <w:start w:val="1"/>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2026-05-22T15:41:00Z</dcterms:created>
  <dcterms:modified xsi:type="dcterms:W3CDTF">2026-05-22T15:41:00Z</dcterms:modified>
</cp:coreProperties>
</file>