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14"/>
        </w:rPr>
      </w:pPr>
      <w:r>
        <w:rPr>
          <w:rFonts w:ascii="Times New Roman;serif" w:hAnsi="Times New Roman;serif"/>
          <w:b w:val="false"/>
          <w:i/>
          <w:color w:val="000000"/>
          <w:sz w:val="14"/>
        </w:rPr>
        <w:t>(Mark One)</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fiscal year ended July 3, 2026</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18"/>
        </w:rPr>
        <w:t xml:space="preserve">For the transition period from </w:t>
      </w:r>
      <w:r>
        <w:rPr>
          <w:color w:val="000000"/>
          <w:u w:val="single"/>
        </w:rPr>
        <w:t>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001-42420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Sandisk Corporation</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26" w:type="dxa"/>
        <w:jc w:val="left"/>
        <w:tblInd w:w="0" w:type="dxa"/>
        <w:tblLayout w:type="fixed"/>
        <w:tblCellMar>
          <w:top w:w="28" w:type="dxa"/>
          <w:left w:w="28" w:type="dxa"/>
          <w:bottom w:w="28" w:type="dxa"/>
          <w:right w:w="28" w:type="dxa"/>
        </w:tblCellMar>
      </w:tblPr>
      <w:tblGrid>
        <w:gridCol w:w="124"/>
        <w:gridCol w:w="109"/>
        <w:gridCol w:w="109"/>
        <w:gridCol w:w="474"/>
        <w:gridCol w:w="474"/>
        <w:gridCol w:w="476"/>
        <w:gridCol w:w="230"/>
        <w:gridCol w:w="230"/>
        <w:gridCol w:w="231"/>
        <w:gridCol w:w="285"/>
        <w:gridCol w:w="285"/>
        <w:gridCol w:w="286"/>
        <w:gridCol w:w="109"/>
        <w:gridCol w:w="109"/>
        <w:gridCol w:w="109"/>
        <w:gridCol w:w="703"/>
        <w:gridCol w:w="703"/>
        <w:gridCol w:w="7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99-1508671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951 Sandisk Drive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Milpitas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95035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(408) 801-1000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47" w:type="dxa"/>
        <w:jc w:val="left"/>
        <w:tblInd w:w="0" w:type="dxa"/>
        <w:tblLayout w:type="fixed"/>
        <w:tblCellMar>
          <w:top w:w="28" w:type="dxa"/>
          <w:left w:w="28" w:type="dxa"/>
          <w:bottom w:w="28" w:type="dxa"/>
          <w:right w:w="28" w:type="dxa"/>
        </w:tblCellMar>
      </w:tblPr>
      <w:tblGrid>
        <w:gridCol w:w="1160"/>
        <w:gridCol w:w="1021"/>
        <w:gridCol w:w="1028"/>
        <w:gridCol w:w="519"/>
        <w:gridCol w:w="519"/>
        <w:gridCol w:w="521"/>
        <w:gridCol w:w="1019"/>
        <w:gridCol w:w="1019"/>
        <w:gridCol w:w="1441"/>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SNDK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550" w:type="dxa"/>
        <w:jc w:val="left"/>
        <w:tblInd w:w="0" w:type="dxa"/>
        <w:tblLayout w:type="fixed"/>
        <w:tblCellMar>
          <w:top w:w="28" w:type="dxa"/>
          <w:left w:w="28" w:type="dxa"/>
          <w:bottom w:w="28" w:type="dxa"/>
          <w:right w:w="28" w:type="dxa"/>
        </w:tblCellMar>
      </w:tblPr>
      <w:tblGrid>
        <w:gridCol w:w="603"/>
        <w:gridCol w:w="530"/>
        <w:gridCol w:w="532"/>
        <w:gridCol w:w="415"/>
        <w:gridCol w:w="415"/>
        <w:gridCol w:w="416"/>
        <w:gridCol w:w="519"/>
        <w:gridCol w:w="519"/>
        <w:gridCol w:w="521"/>
        <w:gridCol w:w="670"/>
        <w:gridCol w:w="670"/>
        <w:gridCol w:w="671"/>
        <w:gridCol w:w="605"/>
        <w:gridCol w:w="605"/>
        <w:gridCol w:w="8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aggregate market value of voting stock held by non-affiliates of the registrant as of January 2, 2026, the last business day of Sandisk Corporation’s most recently completed second fiscal quarter, was $40.5 billion, based on the closing sale price as reported in the Nasdaq Global Select Market (“Nasdaq”) under the symbol “SNDK”.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As of the close of business on August 7, 2026, 146,419,001 shares of common stock, par value $0.01 per share, were outstanding.</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Part III of this Report incorporates by reference certain information from the registrant’s definitive proxy statement (the “Proxy Statement”) for the 2026 Annual Meeting of Stockholders, which we intend to file with the Securities and Exchange Commission within 120 days after the end of the 2026 fiscal year. Except with respect to information specifically incorporated by reference in this Form 10-K, the Proxy Statement is not deemed to be filed as 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SANDISK CORPORATION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INDEX</w:t>
      </w:r>
    </w:p>
    <w:tbl>
      <w:tblPr>
        <w:tblW w:w="10205" w:type="dxa"/>
        <w:jc w:val="left"/>
        <w:tblInd w:w="0" w:type="dxa"/>
        <w:tblLayout w:type="fixed"/>
        <w:tblCellMar>
          <w:top w:w="28" w:type="dxa"/>
          <w:left w:w="28" w:type="dxa"/>
          <w:bottom w:w="28" w:type="dxa"/>
          <w:right w:w="28" w:type="dxa"/>
        </w:tblCellMar>
      </w:tblPr>
      <w:tblGrid>
        <w:gridCol w:w="292"/>
        <w:gridCol w:w="255"/>
        <w:gridCol w:w="258"/>
        <w:gridCol w:w="2806"/>
        <w:gridCol w:w="2776"/>
        <w:gridCol w:w="2787"/>
        <w:gridCol w:w="300"/>
        <w:gridCol w:w="300"/>
        <w:gridCol w:w="431"/>
      </w:tblGrid>
      <w:tr>
        <w:trPr/>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6">
              <w:r>
                <w:rPr>
                  <w:rStyle w:val="InternetLink"/>
                  <w:rFonts w:ascii="Times New Roman;serif" w:hAnsi="Times New Roman;serif"/>
                  <w:b w:val="false"/>
                  <w:strike w:val="false"/>
                  <w:dstrike w:val="false"/>
                  <w:color w:val="0000FF"/>
                  <w:sz w:val="20"/>
                  <w:u w:val="none"/>
                  <w:effect w:val="none"/>
                </w:rPr>
                <w:t>5</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9">
              <w:r>
                <w:rPr>
                  <w:rStyle w:val="InternetLink"/>
                  <w:rFonts w:ascii="Times New Roman;serif" w:hAnsi="Times New Roman;serif"/>
                  <w:b w:val="false"/>
                  <w:strike w:val="false"/>
                  <w:dstrike w:val="false"/>
                  <w:color w:val="0000FF"/>
                  <w:sz w:val="20"/>
                  <w:u w:val="none"/>
                  <w:effect w:val="none"/>
                </w:rPr>
                <w:t>13</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1B.</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22">
              <w:r>
                <w:rPr>
                  <w:rStyle w:val="InternetLink"/>
                  <w:rFonts w:ascii="Times New Roman;serif" w:hAnsi="Times New Roman;serif"/>
                  <w:b w:val="false"/>
                  <w:strike w:val="false"/>
                  <w:dstrike w:val="false"/>
                  <w:color w:val="0000FF"/>
                  <w:sz w:val="20"/>
                  <w:u w:val="none"/>
                  <w:effect w:val="none"/>
                </w:rPr>
                <w:t>34</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1C.</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25">
              <w:r>
                <w:rPr>
                  <w:rStyle w:val="InternetLink"/>
                  <w:rFonts w:ascii="Times New Roman;serif" w:hAnsi="Times New Roman;serif"/>
                  <w:b w:val="false"/>
                  <w:strike w:val="false"/>
                  <w:dstrike w:val="false"/>
                  <w:color w:val="0000FF"/>
                  <w:sz w:val="20"/>
                  <w:u w:val="none"/>
                  <w:effect w:val="none"/>
                </w:rPr>
                <w:t>35</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28">
              <w:r>
                <w:rPr>
                  <w:rStyle w:val="InternetLink"/>
                  <w:rFonts w:ascii="Times New Roman;serif" w:hAnsi="Times New Roman;serif"/>
                  <w:b w:val="false"/>
                  <w:strike w:val="false"/>
                  <w:dstrike w:val="false"/>
                  <w:color w:val="0000FF"/>
                  <w:sz w:val="20"/>
                  <w:u w:val="none"/>
                  <w:effect w:val="none"/>
                </w:rPr>
                <w:t>37</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31">
              <w:r>
                <w:rPr>
                  <w:rStyle w:val="InternetLink"/>
                  <w:rFonts w:ascii="Times New Roman;serif" w:hAnsi="Times New Roman;serif"/>
                  <w:b w:val="false"/>
                  <w:strike w:val="false"/>
                  <w:dstrike w:val="false"/>
                  <w:color w:val="0000FF"/>
                  <w:sz w:val="20"/>
                  <w:u w:val="none"/>
                  <w:effect w:val="none"/>
                </w:rPr>
                <w:t>38</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34">
              <w:r>
                <w:rPr>
                  <w:rStyle w:val="InternetLink"/>
                  <w:rFonts w:ascii="Times New Roman;serif" w:hAnsi="Times New Roman;serif"/>
                  <w:b w:val="false"/>
                  <w:strike w:val="false"/>
                  <w:dstrike w:val="false"/>
                  <w:color w:val="0000FF"/>
                  <w:sz w:val="20"/>
                  <w:u w:val="none"/>
                  <w:effect w:val="non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40">
              <w:r>
                <w:rPr>
                  <w:rStyle w:val="InternetLink"/>
                  <w:rFonts w:ascii="Times New Roman;serif" w:hAnsi="Times New Roman;serif"/>
                  <w:b w:val="false"/>
                  <w:strike w:val="false"/>
                  <w:dstrike w:val="false"/>
                  <w:color w:val="0000FF"/>
                  <w:sz w:val="20"/>
                  <w:u w:val="none"/>
                  <w:effect w:val="none"/>
                </w:rPr>
                <w:t>40</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43">
              <w:r>
                <w:rPr>
                  <w:rStyle w:val="InternetLink"/>
                  <w:rFonts w:ascii="Times New Roman;serif" w:hAnsi="Times New Roman;serif"/>
                  <w:b w:val="false"/>
                  <w:strike w:val="false"/>
                  <w:dstrike w:val="false"/>
                  <w:color w:val="0000FF"/>
                  <w:sz w:val="20"/>
                  <w:u w:val="none"/>
                  <w:effect w:val="none"/>
                </w:rPr>
                <w:t>42</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46">
              <w:r>
                <w:rPr>
                  <w:rStyle w:val="InternetLink"/>
                  <w:rFonts w:ascii="Times New Roman;serif" w:hAnsi="Times New Roman;serif"/>
                  <w:b w:val="false"/>
                  <w:strike w:val="false"/>
                  <w:dstrike w:val="false"/>
                  <w:color w:val="0000FF"/>
                  <w:sz w:val="20"/>
                  <w:u w:val="none"/>
                  <w:effect w:val="none"/>
                </w:rPr>
                <w:t>43</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7A.</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61">
              <w:r>
                <w:rPr>
                  <w:rStyle w:val="InternetLink"/>
                  <w:rFonts w:ascii="Times New Roman;serif" w:hAnsi="Times New Roman;serif"/>
                  <w:b w:val="false"/>
                  <w:strike w:val="false"/>
                  <w:dstrike w:val="false"/>
                  <w:color w:val="0000FF"/>
                  <w:sz w:val="20"/>
                  <w:u w:val="none"/>
                  <w:effect w:val="none"/>
                </w:rPr>
                <w:t>54</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64">
              <w:r>
                <w:rPr>
                  <w:rStyle w:val="InternetLink"/>
                  <w:rFonts w:ascii="Times New Roman;serif" w:hAnsi="Times New Roman;serif"/>
                  <w:b w:val="false"/>
                  <w:strike w:val="false"/>
                  <w:dstrike w:val="false"/>
                  <w:color w:val="0000FF"/>
                  <w:sz w:val="20"/>
                  <w:u w:val="none"/>
                  <w:effect w:val="none"/>
                </w:rPr>
                <w:t>55</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45">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9A.</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48">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9B.</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51">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9C.</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54">
              <w:r>
                <w:rPr>
                  <w:rStyle w:val="InternetLink"/>
                  <w:rFonts w:ascii="Times New Roman;serif" w:hAnsi="Times New Roman;serif"/>
                  <w:b w:val="false"/>
                  <w:strike w:val="false"/>
                  <w:dstrike w:val="false"/>
                  <w:color w:val="0000FF"/>
                  <w:sz w:val="20"/>
                  <w:u w:val="none"/>
                  <w:effect w:val="none"/>
                </w:rPr>
                <w:t>103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60">
              <w:r>
                <w:rPr>
                  <w:rStyle w:val="InternetLink"/>
                  <w:rFonts w:ascii="Times New Roman;serif" w:hAnsi="Times New Roman;serif"/>
                  <w:b w:val="false"/>
                  <w:strike w:val="false"/>
                  <w:dstrike w:val="false"/>
                  <w:color w:val="0000FF"/>
                  <w:sz w:val="20"/>
                  <w:u w:val="none"/>
                  <w:effect w:val="none"/>
                </w:rPr>
                <w:t>104</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11.</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63">
              <w:r>
                <w:rPr>
                  <w:rStyle w:val="InternetLink"/>
                  <w:rFonts w:ascii="Times New Roman;serif" w:hAnsi="Times New Roman;serif"/>
                  <w:b w:val="false"/>
                  <w:strike w:val="false"/>
                  <w:dstrike w:val="false"/>
                  <w:color w:val="0000FF"/>
                  <w:sz w:val="20"/>
                  <w:u w:val="none"/>
                  <w:effect w:val="none"/>
                </w:rPr>
                <w:t>104</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12.</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66">
              <w:r>
                <w:rPr>
                  <w:rStyle w:val="InternetLink"/>
                  <w:rFonts w:ascii="Times New Roman;serif" w:hAnsi="Times New Roman;serif"/>
                  <w:b w:val="false"/>
                  <w:strike w:val="false"/>
                  <w:dstrike w:val="false"/>
                  <w:color w:val="0000FF"/>
                  <w:sz w:val="20"/>
                  <w:u w:val="none"/>
                  <w:effect w:val="none"/>
                </w:rPr>
                <w:t>104</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13.</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69">
              <w:r>
                <w:rPr>
                  <w:rStyle w:val="InternetLink"/>
                  <w:rFonts w:ascii="Times New Roman;serif" w:hAnsi="Times New Roman;serif"/>
                  <w:b w:val="false"/>
                  <w:strike w:val="false"/>
                  <w:dstrike w:val="false"/>
                  <w:color w:val="0000FF"/>
                  <w:sz w:val="20"/>
                  <w:u w:val="none"/>
                  <w:effect w:val="none"/>
                </w:rPr>
                <w:t>104</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72">
              <w:r>
                <w:rPr>
                  <w:rStyle w:val="InternetLink"/>
                  <w:rFonts w:ascii="Times New Roman;serif" w:hAnsi="Times New Roman;serif"/>
                  <w:b w:val="false"/>
                  <w:strike w:val="false"/>
                  <w:dstrike w:val="false"/>
                  <w:color w:val="0000FF"/>
                  <w:sz w:val="20"/>
                  <w:u w:val="none"/>
                  <w:effect w:val="none"/>
                </w:rPr>
                <w:t>104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78">
              <w:r>
                <w:rPr>
                  <w:rStyle w:val="InternetLink"/>
                  <w:rFonts w:ascii="Times New Roman;serif" w:hAnsi="Times New Roman;serif"/>
                  <w:b w:val="false"/>
                  <w:strike w:val="false"/>
                  <w:dstrike w:val="false"/>
                  <w:color w:val="0000FF"/>
                  <w:sz w:val="20"/>
                  <w:u w:val="none"/>
                  <w:effect w:val="none"/>
                </w:rPr>
                <w:t>105</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181">
              <w:r>
                <w:rPr>
                  <w:rStyle w:val="InternetLink"/>
                  <w:rFonts w:ascii="Times New Roman;serif" w:hAnsi="Times New Roman;serif"/>
                  <w:b w:val="false"/>
                  <w:strike w:val="false"/>
                  <w:dstrike w:val="false"/>
                  <w:color w:val="0000FF"/>
                  <w:sz w:val="20"/>
                  <w:u w:val="none"/>
                  <w:effect w:val="none"/>
                </w:rPr>
                <w:t>107</w:t>
              </w:r>
            </w:hyperlink>
          </w:p>
        </w:tc>
      </w:tr>
    </w:tbl>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requires, references herein to specific years and quarters are to our fiscal years and fiscal quarters, and references to financial information are on a consolidated basis. As used herein, the terms “we,” “us,” “our,” the “Company,” and “Sandisk” refer to Sandisk Corporation and its subsidiaries, unless we state, or the context indicates, otherwise.</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Sandisk Corporation, a Delaware corporation, is the parent company of our NAND flash data storage business. Our principal executive offices are located at 951 Sandisk Drive, Milpitas, California, 95035. Our telephone number is (408) 801-1000.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document contains forward-looking statements within the meaning of the federal securities laws. These forward-looking statements include, but are not limited to, statements regarding Sandisk Corporation’s (the “Company’s”) expectations related to its product and technology developments, technology transitions, AI-related market opportunities, strategic relationships, including Flash Ventures and Kioxia, long-term customer agreements, supply, inventory and capacity management, capital allocation initiatives, including share repurchases, and all statements regarding the Company’s expected future position, results of operations, cash flows, dividends, financing plans, business strategy, budgets, capital expenditures, competitive positions, growth opportunities, plans and objectives of management, and statements containing the use of forward-looking words, such as “may,” “will,” “could,” “would,” “should,” “project,” “believe,” “anticipate,” “expect,” “estimate,” “continue,” “potential,” “plan,” “forecast,” “approximate,” “intend,” “target” and the like, or the use of the future tense of these or similar words. Statements contained herein concerning the Company’s expectations related to operating as an independent company, outlook or future economic performance, anticipated profitability, revenues, expenses, dividends, or other financial items, products or service line growth of the Company, and predicted market outcomes, together with other statements that are not historical facts, are forward-looking statements that are estimates reflecting the best judgment of the Company based upon currently available information. Statements concerning current conditions may also be forward-looking if they imply a continuation of current conditions. </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You are urged to carefully review the disclosures we make concerning material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Report. We do not intend, and undertake no obligation, to update or revise these forward-looking statements to reflect new information or events after the date of this document or to reflect the occurrence of unanticipated events, except as required by law.</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WEBSITE REFERENCES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this Annual Report on Form 10-K, we make references to our website at </w:t>
      </w:r>
      <w:r>
        <w:rPr>
          <w:rFonts w:ascii="Times New Roman;serif" w:hAnsi="Times New Roman;serif"/>
          <w:b w:val="false"/>
          <w:i/>
          <w:color w:val="000000"/>
          <w:sz w:val="20"/>
        </w:rPr>
        <w:t>www.sandisk.com</w:t>
      </w:r>
      <w:r>
        <w:rPr>
          <w:rFonts w:ascii="Times New Roman;serif" w:hAnsi="Times New Roman;serif"/>
          <w:b w:val="false"/>
          <w:color w:val="000000"/>
          <w:sz w:val="20"/>
        </w:rPr>
        <w:t>. References to our website through this Form 10-K are provided for convenience only and the content on our website does not constitute a part of, and shall not be deemed incorporated by reference into, this Annual Report on Form 10-K.</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    </w:t>
      </w:r>
      <w:r>
        <w:rPr>
          <w:rFonts w:ascii="Times New Roman;serif" w:hAnsi="Times New Roman;serif"/>
          <w:b/>
          <w:i/>
          <w:color w:val="000000"/>
          <w:sz w:val="20"/>
        </w:rPr>
        <w:t>Business</w:t>
      </w:r>
      <w:r>
        <w:rPr>
          <w:color w:val="000000"/>
        </w:rPr>
        <w:t xml:space="preserve"> </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Separation from Western Digital Corporation</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Prior to February 21, 2025, we were wholly owned by Western Digital Corporation (“WDC”). As of February 21, 2025, we separated from WDC (the “separation”) and became a standalone publicly traded company, trading under the stock symbol “SNDK” on the Nasdaq Global Select Market. For more information about the separation, see Part II, Item 7., Management’s Discussion and Analysis of Financial Condition and Results of Operations and Part II, Item 8.,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Sandisk is a leading global semiconductor memory company with more than 30 years of innovation in NAND flash technology. We are a vertically integrated solutions provider with ownership of chip-level design and IP, front and back-end manufacturing, as well as systems engineering and design. With a differentiated innovation engine driving advancements in storage and semiconductor technologies, our broad and ever-expanding portfolio delivers powerful flash storage solutions for artificial intelligence (“AI”) workloads in datacenters, edge devices, and consumer applications. Our technologies enable everyone from students, gamers, and home offices to the largest enterprises and public clouds to produce, analyze, and store data. Our solutions include a broad range of solid-state drives (“SSDs”), embedded products, removable cards, universal serial bus drives and wafers and components. Our broad portfolio of technology and products addresses multiple end markets of “Datacenter”(formerly referred to as “Cloud”), “Edge” (formerly referred to as “Client”), and “Consumer.”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Datacenter end market is comprised primarily of products for datacenters, cloud service providers, and private cloud customers. Through the Edge end market, we provide our original equipment manufacturer (“OEM”) and channel customers a broad array of high-performance flash solutions across personal computer, mobile, gaming, automotive, physical AI, at-home entertainment, and industrial spaces. The Consumer end market is highlighted by our broad range of retail and other end-user products, which capitalize on the strength of our product brand recognition and vast presence around the world.</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We hold valuable patent portfolios containing approximately</w:t>
      </w:r>
      <w:r>
        <w:rPr>
          <w:color w:val="000000"/>
        </w:rPr>
        <w:t xml:space="preserve"> </w:t>
      </w:r>
      <w:r>
        <w:rPr>
          <w:rFonts w:ascii="Times New Roman;serif" w:hAnsi="Times New Roman;serif"/>
          <w:b w:val="false"/>
          <w:color w:val="000000"/>
          <w:sz w:val="20"/>
        </w:rPr>
        <w:t>8,000 granted patents and approximately 3,000 pending</w:t>
      </w:r>
      <w:r>
        <w:rPr>
          <w:color w:val="000000"/>
          <w:shd w:fill="FFFFFF" w:val="clear"/>
        </w:rPr>
        <w:t xml:space="preserve"> </w:t>
      </w:r>
      <w:r>
        <w:rPr>
          <w:rFonts w:ascii="Times New Roman;serif" w:hAnsi="Times New Roman;serif"/>
          <w:b w:val="false"/>
          <w:color w:val="000000"/>
          <w:sz w:val="20"/>
          <w:shd w:fill="FFFFFF" w:val="clear"/>
        </w:rPr>
        <w:t xml:space="preserve">patent applications worldwide that support our products across all end markets. </w:t>
      </w:r>
      <w:r>
        <w:rPr>
          <w:rFonts w:ascii="Times New Roman;serif" w:hAnsi="Times New Roman;serif"/>
          <w:b w:val="false"/>
          <w:color w:val="000000"/>
          <w:sz w:val="20"/>
        </w:rPr>
        <w:t>We have extensive customer, partner and channel relationships across a number of end-markets and geographies and have a rich heritage of innovation and operational excellence, a wide range of intellectual property assets, broad research and development (“R&amp;D”) capabilities and large-scale, efficient manufacturing supply chains. The strong growth in the amount, value and use of data continues, creating a global need for larger, faster, and more capable storage solutions.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customer-focused organization that has developed deep relationships with industry leaders with the goal of delivering innovative solutions to help users capture, store and transform data across a boundless range of applications. We help OEMs address storage opportunities and solutions to capture and transform data into a myriad of devices and edge technologies. We have also built strong consumer brands with tools to manage vast libraries of personal content and to push the limits of what’s possible for storage. At Sandisk, we strive to continuously transform ourselves to address the growth in data by providing what we believe to be the broadest range of storage technologies in the industry with a comprehensive product portfolio and global reach.</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Industry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in the semiconductor memory chip and data storage industries. The ability to access, store and share data from anywhere on any device is increasingly important to our customers and end users. From the intelligent edge to the cloud, data storage is a fundamental component underpinning the global technology architecture, inclusive of AI. Our strengths in innovation and cost leadership, diversified product portfolio and broad routes to market provide a foundation upon which we are solidifying our position as an essential building block of the digital economy. We believe there is a tremendous market opportunity flowing from the rapid global adoption of the technology architecture built with cloud infrastructure tied to intelligent endpoints all connected by high-performance networks. The value and urgency of data storage at every point across this architecture have never been clearer.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computing complexity and advancements in AI, along with growth in cloud computing applications, connected mobile devices and Internet-connected products, and edge devices are driving substantial growth in the volume of digital content to be stored and used. We believe our expertise and innovation in flash technology enable us to bring powerful solutions to a broader range of applications. We continuously monitor the full array of flash-based storage technologies, including reviewing these technologies with our customers, to ensure we are appropriately resourced to meet our customers’ storage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Flash Technology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Flash products provide non-volatile data storage based on flash technology. We develop and manufacture solid state storage products for a variety of applications, including enterprise or cloud storage, client storage, automotive, mobile devices and removable memory devices. Over time, we have successfully developed and commercialized successive generations of two- and three-dimensional flash technologies with increased numbers of storage bits per cell in an increasingly smaller form factor, further driving cost reductions. We devote significant R&amp;D resources to the development of highly reliable, high-performance, cost-effective flash-based technology and are continually pursuing developments in next-generation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 of use.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Our Data Solutions </w:t>
      </w:r>
    </w:p>
    <w:p>
      <w:pPr>
        <w:pStyle w:val="TextBody"/>
        <w:bidi w:val="0"/>
        <w:spacing w:lineRule="auto" w:line="288" w:before="0" w:after="120"/>
        <w:ind w:left="0" w:right="0" w:firstLine="540"/>
        <w:jc w:val="left"/>
        <w:rPr/>
      </w:pPr>
      <w:r>
        <w:rPr>
          <w:rFonts w:ascii="Times New Roman;serif" w:hAnsi="Times New Roman;serif"/>
          <w:b w:val="false"/>
          <w:color w:val="000000"/>
          <w:sz w:val="20"/>
        </w:rPr>
        <w:t>Our broad portfolio of technology and products addresses multiple end markets of “Datacenter,” “Edge” and “Consumer” and are comprised of the Sandisk™ brand. Certain of our products will also be sold for a limited transitional period under the Western Digital</w:t>
      </w:r>
      <w:r>
        <w:rPr>
          <w:rFonts w:ascii="Times New Roman;serif" w:hAnsi="Times New Roman;serif"/>
          <w:b w:val="false"/>
          <w:color w:val="000000"/>
          <w:sz w:val="13"/>
        </w:rPr>
        <w:t>®</w:t>
      </w:r>
      <w:r>
        <w:rPr>
          <w:rFonts w:ascii="Times New Roman;serif" w:hAnsi="Times New Roman;serif"/>
          <w:b w:val="false"/>
          <w:color w:val="000000"/>
          <w:sz w:val="20"/>
        </w:rPr>
        <w:t>, WD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other brands under license from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Datacenter represents a large and growing end market comprised primarily of products for public or private cloud environments and enterprise customers. We provide the Datacenter end market with an array of high-performance enterprise SSDs. Our high-performance enterprise class SSDs include high-performance flash-based SSDs and software solutions that are optimized for performance applications providing a range of capacity and performance levels primarily for use in enterprise servers and supporting high-volume online transactions, AI-related workloads, data analysis and other enterprise applications.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 the Edge end market, we provide numerous data solutions that we incorporate into our client’s devices, which consist of SSDs for desktop and notebook PCs, gaming consoles and set top boxes, as well as flash-based embedded storage products for mobile phones, tablets, notebook PCs and other portable and wearable devices, automotive applications, Internet of Things, and industrial and connected home applications. Our SSDs are designed for use in devices requiring high performance, reliability and capacity with various attributes such as low cost per gigabyte, quiet acoustics, low power consumption and protection against shocks.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serve the Consumer end market with a portfolio of SSDs and removable flash products, including cards and universal serial bus flash drives, through our retail and channel routes to market. We offer client portable SSDs with a range of capacities and performance characteristics to address a broad spectrum of the client storage market. Our removable cards are designed primarily for use in consumer devices, such as mobile phones, tablets, imaging systems, gaming devices, cameras and smart video systems. Our universal serial bus flash drives are used in the computing and consumer markets and are designed for high performance and reliability.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industry is highly competitive. We believe we are well positioned with our leading flash product portfolio, premium consumer brand, differentiated semiconductor innovation engine and leadership in driving cost efficiency. Nevertheless, we face strong competition from other manufacturers of flash in the Datacenter, Edge and Consumer end markets. We compete with vertically-integrated suppliers such as Kioxia, Micron Technology, Inc., Samsung Electronics Co., Ltd., SK Hynix, Inc., Yangtze Memory Technologies Co., Ltd. and numerous smaller companies that assemble flash into products.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Business Strategy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strategy is to leverage our innovation, technology and execution capabilities to be an industry-leading and broad-based global semiconductor memory company that supports the infrastructure that has enabled the unabated proliferation of data. We strive to successfully execute our strategy through the following foundational elements in order to create long-term value for our customers, partners, investors and employees: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Technology Innovation and Manufacturing Leadership:</w:t>
      </w:r>
      <w:r>
        <w:rPr>
          <w:color w:val="000000"/>
        </w:rPr>
        <w:t xml:space="preserve"> </w:t>
      </w:r>
      <w:r>
        <w:rPr>
          <w:rFonts w:ascii="Times New Roman;serif" w:hAnsi="Times New Roman;serif"/>
          <w:b w:val="false"/>
          <w:color w:val="000000"/>
          <w:sz w:val="20"/>
        </w:rPr>
        <w:t>We leverage our innovative R&amp;D and intellectual property at the chip and system level coupled with advanced manufacturing scale and expertise to drive technology leadership, accelerate innovation, and deliver cost-efficient memory solutions. These capabilities enable us to meet growing customer requirements for performance and capacity delivered by our mission-critical technology enabling AI deployment and diversification across Datacenter, Edge and Consumer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Broad Product Portfolio:</w:t>
      </w:r>
      <w:r>
        <w:rPr>
          <w:color w:val="000000"/>
        </w:rPr>
        <w:t xml:space="preserve"> </w:t>
      </w:r>
      <w:r>
        <w:rPr>
          <w:rFonts w:ascii="Times New Roman;serif" w:hAnsi="Times New Roman;serif"/>
          <w:b w:val="false"/>
          <w:color w:val="000000"/>
          <w:sz w:val="20"/>
        </w:rPr>
        <w:t>We leverage our capabilities in firmware, software and systems to deliver compelling and differentiated integrated storage solutions to our customers that offer the best combinations of performance, cost, power consumption, form factor, quality and reliability, while creating new use cases for our solutions in emerging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Operational Excellence</w:t>
      </w:r>
      <w:r>
        <w:rPr>
          <w:rFonts w:ascii="Times New Roman;serif" w:hAnsi="Times New Roman;serif"/>
          <w:b w:val="false"/>
          <w:color w:val="000000"/>
          <w:sz w:val="20"/>
        </w:rPr>
        <w:t>: We are focused on delivering the best value for our customers in Datacenter, Edge and Consumer end markets through a relentless focus on appropriately scaling our operations to efficiently support business growth; achieving best in class capital efficiency, quality and cycle-time; maintaining industry leading manufacturing capabilities; and having a competitive advantage in supply-chain management,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Durable and Predictable Business Model:</w:t>
      </w:r>
      <w:r>
        <w:rPr>
          <w:color w:val="000000"/>
        </w:rPr>
        <w:t xml:space="preserve"> </w:t>
      </w:r>
      <w:r>
        <w:rPr>
          <w:rFonts w:ascii="Times New Roman;serif" w:hAnsi="Times New Roman;serif"/>
          <w:b w:val="false"/>
          <w:color w:val="000000"/>
          <w:sz w:val="20"/>
        </w:rPr>
        <w:t xml:space="preserve">We are transforming our financial model through long-term customer engagement frameworks and New Business Model (“NBMs”) agreements that provide greater visibility, improve production planning and inventory management, support sustained innovation investments, and enhance the predictability of revenue, profitability and cash flow generation, while reducing exposure to industry cyclicality.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strategy provides the following benefits, which distinguish us in the dynamic and competitive data storage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broad product portfolio that establishes us as a leading developer and manufacturer of integrated flash NAND products and solutions, making us a key strategic supply partner to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efficient and flexible manufacturing capabilities, allowing us to leverage our flash R&amp;D and capital expenditures to deliver innovative and cost-effective storage solutions to multiple end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deep relationships with industry leaders across the data ecosystems that give us the broadest routes to market;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industry leading consumer brand awareness and global retail distribution presence.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devote substantial resources to the R&amp;D of new products and the improvement of existing products. We focus our engineering efforts on optimizing our product design and manufacturing processes to bring our products to market in a cost-effective and timely manner. For a discussion of associated risks, see 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Patents, Licenses and Proprietary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patents, trademarks, copyright and trade secret laws, confidentiality procedures and licensing arrangements to protect our intellectual property rights.</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have approxima</w:t>
      </w:r>
      <w:r>
        <w:rPr>
          <w:rFonts w:ascii="Times New Roman;serif" w:hAnsi="Times New Roman;serif"/>
          <w:b w:val="false"/>
          <w:color w:val="000000"/>
          <w:sz w:val="20"/>
          <w:shd w:fill="FFFFFF" w:val="clear"/>
        </w:rPr>
        <w:t>tely</w:t>
      </w:r>
      <w:r>
        <w:rPr>
          <w:color w:val="000000"/>
        </w:rPr>
        <w:t xml:space="preserve"> </w:t>
      </w:r>
      <w:r>
        <w:rPr>
          <w:rFonts w:ascii="Times New Roman;serif" w:hAnsi="Times New Roman;serif"/>
          <w:b w:val="false"/>
          <w:color w:val="000000"/>
          <w:sz w:val="20"/>
        </w:rPr>
        <w:t>8,000 granted patents and approximately 3,000 pendi</w:t>
      </w:r>
      <w:r>
        <w:rPr>
          <w:rFonts w:ascii="Times New Roman;serif" w:hAnsi="Times New Roman;serif"/>
          <w:b w:val="false"/>
          <w:color w:val="000000"/>
          <w:sz w:val="20"/>
          <w:shd w:fill="FFFFFF" w:val="clear"/>
        </w:rPr>
        <w:t>ng patent applications worldwide. We continually seek additional United States (“U.S.”) and international patents on our technology. We belie</w:t>
      </w:r>
      <w:r>
        <w:rPr>
          <w:rFonts w:ascii="Times New Roman;serif" w:hAnsi="Times New Roman;serif"/>
          <w:b w:val="false"/>
          <w:color w:val="000000"/>
          <w:sz w:val="20"/>
        </w:rPr>
        <w:t>ve that, although our active patents and patent applications have considerable value, the successful manufacturing and marketing of our products also depend upon the technical and managerial competence of our staff. Accordingly, the patents held and applied for cannot alone ensure our future success.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of certain intellectual property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rely on certain technology that we license from other parties to manufacture and sell our products. We believe that we have adequate cross-licenses and other agreements in place in addition to our own intellectual property portfolio to compete successfully in the storage industry. For a discussion of associated risks, see 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we have significant know-how, unique product manufacturing processes, test and tooling, execution skills, human resources and training to continue to be successful and to adjust our manufacturing operations as necessary. We strive to maintain manufacturing flexibility, high manufacturing yields, reliable products and high-quality components. The critical elements of our production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Flash manufacturing requires complex processes involving the production and assembly of precision components with narrow tolerances and rigorous testing. The manufacturing processes involve a number of steps that are dependent on each other and occur in “clean room” environments. These processes require skill in process engineering and efficient space utilization in order to keep the operating costs of these specialized manufacturing environments under control.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Our flash offerings consist of flash-based memory, controllers and firmware and other components. All of our flash-based memory is obtained from our joint ventures with Kioxia, which provide us with leading-edge, high-quality flash memory wafers. Controllers are primarily designed in-house and manufactured by third-party foundries or acquired from third-party suppliers. Our assembly and test operations comprise in-house assembly and test facilities located in Penang, Malaysia, facilities operated by other contract manufacturers, and the assembly and test facility owned and operated by SDSS, a venture that is owned</w:t>
      </w:r>
      <w:r>
        <w:rPr>
          <w:color w:val="000000"/>
          <w:shd w:fill="FFFFFF" w:val="clear"/>
        </w:rPr>
        <w:t xml:space="preserve">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by Sandisk and </w:t>
      </w:r>
      <w:r>
        <w:rPr>
          <w:rFonts w:ascii="Times New Roman;serif" w:hAnsi="Times New Roman;serif"/>
          <w:b w:val="false"/>
          <w:color w:val="000000"/>
          <w:sz w:val="20"/>
        </w:rPr>
        <w:t>80%</w:t>
      </w:r>
      <w:r>
        <w:rPr>
          <w:color w:val="000000"/>
          <w:shd w:fill="FFFFFF" w:val="clear"/>
        </w:rPr>
        <w:t xml:space="preserve"> </w:t>
      </w:r>
      <w:r>
        <w:rPr>
          <w:rFonts w:ascii="Times New Roman;serif" w:hAnsi="Times New Roman;serif"/>
          <w:b w:val="false"/>
          <w:color w:val="000000"/>
          <w:sz w:val="20"/>
        </w:rPr>
        <w:t>by JCET Management Co., Ltd. We believe the use of our in-house assembly and test facilities and manufacturing partners provide flexibility and give us access to increased production capacity.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Kioxia currently operate three business ventures, Flash Partners Ltd., Flash Alliance Ltd. and Flash Forward Ltd., (collectively, “Flash Ventures”) across eight flash-based manufacturing facilities in Japan, six of which are located in Yokkaichi, Japan and two of which are located in Kitakami, Japan. Through Flash Ventures, we and Kioxia collaborate in the development and manufacture of flash-based memory wafers using semiconductor manufacturing equipment owned or leased by each of the Flash Ventures entities. We co-develop flash technologies (including process technology and memory design) with Kioxia for Flash Ventures’ use. We and Kioxia jointly own these co-developed flash technologies. We and Kioxia also contribute to the collaboration and license to each other technologies that are independently developed and owned by each of us and are reasonably necessary to our joint development or manufacture of flash-based memory. We hold a 49.9% ownership position in each of the Flash Ventures entities. We jointly control the operations of Flash Ventures with Kioxia, and we believe our participation in Flash Ventures helps us reduce product costs, increases our ability to control the quality of our products and speeds delivery of our products to our customers.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Kioxia owns the facilities and provides wafer manufacturing services to Flash Ventures at cost using manufacturing equipment owned or leased by Flash Ventures and process technologies co-owned or contributed by us and Kioxia. Flash Ventures accounts for approximately </w:t>
      </w:r>
      <w:r>
        <w:rPr>
          <w:rFonts w:ascii="Times New Roman;serif" w:hAnsi="Times New Roman;serif"/>
          <w:b w:val="false"/>
          <w:color w:val="000000"/>
          <w:sz w:val="20"/>
          <w:shd w:fill="FFFFFF" w:val="clear"/>
        </w:rPr>
        <w:t>80% of the total manufacturing capacity in the facilities owned by Kioxia. We and Kioxia are entitled to purchase a share of Flash Ventures’ output, which generally equals 50% each. The price that we and Kioxia pay Flash Ventures for flash memory wafers is cost plus a small markup. We are obligated</w:t>
      </w:r>
      <w:r>
        <w:rPr>
          <w:color w:val="000000"/>
        </w:rPr>
        <w:t xml:space="preserve"> </w:t>
      </w:r>
      <w:r>
        <w:rPr>
          <w:rFonts w:ascii="Times New Roman;serif" w:hAnsi="Times New Roman;serif"/>
          <w:b w:val="false"/>
          <w:color w:val="000000"/>
          <w:sz w:val="20"/>
        </w:rPr>
        <w:t>to pay for variable costs incurred in producing our share of Flash Ventures’ flash-based memory wafer supply based on a rolling forecast. In addition, we are obligated to pay for half of Flash Ventures’ fixed costs regardless of the output we choose to purchase. We recognize the Company’s 49.9% interest in the earnings of the Flash Ventures entities one quarter in arrears, reported in Other income (expense), net in the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Flash Ventures is operating, we and Kioxia are restricted from working with third parties to manufacture flash-based memory or from fabricating flash-based memory beyond the capacity specified in our agreements with Kioxia. In addition, we may not manufacture flash-based memory ourselves except to the extent that we acquire the manufacturing capacity of a Flash Ventures entity as a result of such entity’s dissolution or termination of its joint venture agreements or upon our acquisition of all the ownership interests in such entity.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agreements governing the operations of the Flash Ventures entities also set out a framework for any investment by the joint venture partners in flash manufacturing capacity. We have jointly invested, and intend to continue to jointly invest, with Kioxia in the manufacturing equipment needed to support Flash Ventures’ flash manufacturing operations. In addition, we are obligated to fund 49.9% to 50.0% of capital investments that a Flash Ventures entity decides to make to the extent that Flash Ventures entity’s operating cash flow is insufficient to fund these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pPr>
      <w:r>
        <w:rPr>
          <w:rFonts w:ascii="Times New Roman;serif" w:hAnsi="Times New Roman;serif"/>
          <w:b w:val="false"/>
          <w:color w:val="000000"/>
          <w:sz w:val="20"/>
        </w:rPr>
        <w:t>Each Flash Ventures entity operates for a set amount of time as agreed between us and Kioxia. Since the start of Flash Ventures, we and Kioxia have extended the term for all three of the Flash Ventures entities.</w:t>
      </w:r>
      <w:r>
        <w:rPr>
          <w:color w:val="000000"/>
          <w:shd w:fill="FFFFFF" w:val="clear"/>
        </w:rPr>
        <w:t xml:space="preserve"> </w:t>
      </w:r>
      <w:r>
        <w:rPr>
          <w:rFonts w:ascii="Times New Roman;serif" w:hAnsi="Times New Roman;serif"/>
          <w:b w:val="false"/>
          <w:color w:val="000000"/>
          <w:sz w:val="20"/>
        </w:rPr>
        <w:t xml:space="preserve">On January 29, 2026, Sandisk entered into an FAL Second Commitment and Extension Agreement (the “FAL Second Extension Agreement”) by and among Sandisk, Kioxia, SanDisk LLC (“SanDisk LLC”), and SanDisk (Ireland) Limited (“SanDisk Ireland”), under which the parties thereto extended the term of Flash Alliance from December 31, 2029 to December 31, 2034. On the same date, Sandisk entered into an FPL Second Commitment and Extension Agreement (the “FPL Second Extension Agreement”, and together with the FAL Second Extension Agreement, collectively, the “Extension Agreements”) by and among Sandisk, Kioxia, SanDisk LLC, and SanDisk (Cayman) Limited (“SanDisk Cayman”), under which the parties thereto extended the term of Flash Partners from December 31, 2029 to December 31, 2034. Following the execution of the Extension Agreements, all three of the joint ventures that comprise the Flash Ventures are scheduled to co-terminate on December 31, 2034. </w:t>
      </w:r>
      <w:r>
        <w:rPr>
          <w:rFonts w:ascii="Times New Roman;serif" w:hAnsi="Times New Roman;serif"/>
          <w:b w:val="false"/>
          <w:color w:val="000000"/>
          <w:sz w:val="20"/>
          <w:shd w:fill="FFFFFF" w:val="clear"/>
        </w:rPr>
        <w:t>Each Flash V</w:t>
      </w:r>
      <w:r>
        <w:rPr>
          <w:rFonts w:ascii="Times New Roman;serif" w:hAnsi="Times New Roman;serif"/>
          <w:b w:val="false"/>
          <w:color w:val="000000"/>
          <w:sz w:val="20"/>
        </w:rPr>
        <w:t>entures entity’s joint venture agreements may also be terminated earlier upon the occurrence of certain specified events, including earlier dissolution by agreement of the parties or an event of default or bankruptcy. Upon the expiration of a Flash Ventures entity’s joint venture agreements,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Extension Agreements, on January 29, 2026, Sandisk entered into an Agreement to Enhance Collaboration by and among Sandisk, Kioxia, Sandisk Technologies, Inc. (“Sandisk Technologies”), SanDisk LLC, SanDisk Ireland and SanDisk Cayman, under which Sandisk Technologies will make certain payments directly to Kioxia totaling $1.2 billion over the years 2026 through 2029 in consideration of Kioxia’s manufacturing services and the continued availability of supply, from execution through December 31, 2034.</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January 24, 2025</w:t>
      </w:r>
      <w:r>
        <w:rPr>
          <w:rFonts w:ascii="Times New Roman;serif" w:hAnsi="Times New Roman;serif"/>
          <w:b w:val="false"/>
          <w:color w:val="000000"/>
          <w:sz w:val="20"/>
        </w:rPr>
        <w:t xml:space="preserve">, the Company and WDC entered into an equity transfer agreement (the “Equity Transfer Agreement”) that transferred WDC’s entire equity interest in Unisplendour Corporation Limited and Unissoft (Wuxi) Group Co. Ltd. (“Unis”), referred to as the “Unis Venture,” to the Company. The Unis Venture is </w:t>
      </w:r>
      <w:r>
        <w:rPr>
          <w:rFonts w:ascii="Times New Roman;serif" w:hAnsi="Times New Roman;serif"/>
          <w:b w:val="false"/>
          <w:color w:val="000000"/>
          <w:sz w:val="20"/>
          <w:shd w:fill="FFFFFF" w:val="clear"/>
        </w:rPr>
        <w:t>48%</w:t>
      </w:r>
      <w:r>
        <w:rPr>
          <w:color w:val="000000"/>
        </w:rPr>
        <w:t xml:space="preserve"> </w:t>
      </w:r>
      <w:r>
        <w:rPr>
          <w:rFonts w:ascii="Times New Roman;serif" w:hAnsi="Times New Roman;serif"/>
          <w:b w:val="false"/>
          <w:color w:val="000000"/>
          <w:sz w:val="20"/>
        </w:rPr>
        <w:t xml:space="preserve">owned by the Company and </w:t>
      </w:r>
      <w:r>
        <w:rPr>
          <w:rFonts w:ascii="Times New Roman;serif" w:hAnsi="Times New Roman;serif"/>
          <w:b w:val="false"/>
          <w:color w:val="000000"/>
          <w:sz w:val="20"/>
          <w:shd w:fill="FFFFFF" w:val="clear"/>
        </w:rPr>
        <w:t>52%</w:t>
      </w:r>
      <w:r>
        <w:rPr>
          <w:color w:val="000000"/>
        </w:rPr>
        <w:t xml:space="preserve"> </w:t>
      </w:r>
      <w:r>
        <w:rPr>
          <w:rFonts w:ascii="Times New Roman;serif" w:hAnsi="Times New Roman;serif"/>
          <w:b w:val="false"/>
          <w:color w:val="000000"/>
          <w:sz w:val="20"/>
        </w:rPr>
        <w:t>owned by Unis. The Unis Venture markets and sells the Company’s products in China</w:t>
      </w:r>
      <w:r>
        <w:rPr>
          <w:rFonts w:ascii="Times New Roman;serif" w:hAnsi="Times New Roman;serif"/>
          <w:b w:val="false"/>
          <w:color w:val="000000"/>
          <w:sz w:val="20"/>
          <w:shd w:fill="FFFFFF" w:val="clear"/>
        </w:rPr>
        <w:t>.</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Prior to the execution of the Equity Transfer Agreement, the Unis Venture was not historically managed as a component of the Company and as such, the related equity method investment was not reflected in our Consolidated Financial Statements. Following the execution of the Equity Transfer Agreement, the Company accounts for its investment in the Unis Venture under the equity method of accounting. The Company’s </w:t>
      </w:r>
      <w:r>
        <w:rPr>
          <w:rFonts w:ascii="Times New Roman;serif" w:hAnsi="Times New Roman;serif"/>
          <w:b w:val="false"/>
          <w:color w:val="000000"/>
          <w:sz w:val="20"/>
          <w:shd w:fill="FFFFFF" w:val="clear"/>
        </w:rPr>
        <w:t>48%</w:t>
      </w:r>
      <w:r>
        <w:rPr>
          <w:color w:val="000000"/>
        </w:rPr>
        <w:t xml:space="preserve"> </w:t>
      </w:r>
      <w:r>
        <w:rPr>
          <w:rFonts w:ascii="Times New Roman;serif" w:hAnsi="Times New Roman;serif"/>
          <w:b w:val="false"/>
          <w:color w:val="000000"/>
          <w:sz w:val="20"/>
        </w:rPr>
        <w:t>interest in the earnings of the Unis Venture will be recognized one quarter in arrears from the date the Unis Venture was transferred to the Company and will be reported in Other income (expense), net in the Consolidated Statements of Operations.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For a discussion of associated risks, see Part I,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Materials and Supplies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consist of flash-based memory, controllers and firmware and other components. Following our separation from Western Digital, the Company has independently maintained strategic relationships with Flash Ventures and other key suppliers, and our supply relationships are now governed independently under the Company’s standalone procurement structure. We continue to source flash memory and components primarily through these partnerships, while independently managing our supplier portfolio to balance business continuity, cost efficiency, and risk mitigation. All of our flash memory wafers are currently obtained from Flash Ventures. Controllers are primarily designed in-house and manufactured by third-party foundries or acquired from third-party suppliers. We believe the use of our assembly and test facilities, as well as contract manufacturers, provides flexibility and gives us access to increased production capacity. </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generally retain multiple suppliers for our component requirements, but for business or technology reasons we source some of our components from a limited number of sole or single source providers. For a discussion of associated risks, see Part I,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Sales and Distribution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sell our products to computer manufacturers and OEMs, cloud service providers,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82%, 80% and 86% of our net revenue for 2026, 2025 and 2024, respectively. Sales to international customers are subject to certain risks not normally encountered in domestic operations, including exposure to tariffs and various trade and other regulations. For a discussion of associated risks, see 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 our marketing and advertising functions both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2026, 2025 and 2024, no customer accounted for more than 10% of our net revenue.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Historically, we have experienced seasonal fluctuations in our business with higher levels of demand in the first and second fiscal quarters as a result of increased customer spending. Seasonality can also be impacted by cyclicality in the industry and macroeconomic conditions. For a discussion of associated risks, see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Service and Warranty</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and Note 5, </w:t>
      </w:r>
      <w:r>
        <w:rPr>
          <w:rFonts w:ascii="Times New Roman;serif" w:hAnsi="Times New Roman;serif"/>
          <w:b w:val="false"/>
          <w:i/>
          <w:color w:val="000000"/>
          <w:sz w:val="20"/>
        </w:rPr>
        <w:t xml:space="preserve">Supplemental Financial Statement Data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People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Data drives how we move, create, and discover. It enables our teams to unlock potential, power breakthrough technologies for our customers, and deliver meaningful impact for our stakeholders.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data should inspire every person to move, create, discover, share, and unlock their potential. Our investment in our people seeks to empower our employees to develop breakthrough Flash memory solutions for our customers and drive meaningful impact for our stakeholders. As of July 2026, our global team includes approximately 11,100 employees across 33 countries— 74% in Asia Pacific, 19% in the Americas, and 7% in Europe, the Middle East, and Africa. We believe our global presence allows us to access a broad range of perspectives, remain agile, and stay culturally attuned to the markets we serve.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Belonging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attract and retain top talent, we are committed to building a culture where every voice matters and every individual feels a sense of belonging, respect, and collaboration.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 our BE@Sandisk program, we foster connection through employee-led communities and learnings that reflect our employees’ unique identities, interests, and aspirations. These communities—over a dozen and growing, with chapters in countries around the world—create opportunities to connect and engage, enabling our people to bring their full selves to work and contribute to our culture. Together, they reinforce our core values: Innovation, Collaboration, Winning, Agility, and Openness.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Talent Attraction &amp; Development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Sandisk, we believe growth is fueled by curiosity, continuous learning, and meaningful career opportunities. Through Sandisk SPARK, our unified learning ecosystem, employees are empowered to take ownership of their development through personalized, on-demand learning journeys that build critical skills, expand capabilities, and support career growth. Sandisk SPARK combines self-directed learning, curated development pathways, and assigned training to foster a culture of continuous learning and adaptability.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 to development is further reinforced through a performance-based philosophy, which connects individual goals, ongoing feedback, and performance outcomes. Employees receive transparent, actionable feedback that helps them build strengths, accelerate growth, and navigate their careers with confidence. Beyond professional development, Sandisk invests in the future readiness of our workforce through targeted upskilling and reskilling initiatives, particularly within our manufacturing and technical organizations. Through hands-on training and workshops, we help employees develop the skills needed to thrive in a rapidly changing industry and contribute to Sandisk’s long-term innovation and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Compensation &amp; Benefits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Attracting, retaining, and motivating top talent is essential in the dynamic and rapidly evolving semiconductor industry. Our approach to compensation is designed to be competitive, flexible, and responsive to the needs of our workforce and the local markets in which we operate.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Rewards strategy extends beyond base compensation to include a mix of salary, short- and long-term incentives, and regionally tailored benefits. These offerings are informed by third-party market benchmarking, as well as employee feedback gathered through focus groups and surveys, allowing us to align with employee expectations while providing clear leveling and pathways for advancement.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invest in the well-being of our employees through benefits that support physical, mental, and financial health. Depending on location, these benefits may include health coverage, life and disability insurance, retirement plans, paid time off, employee assistance programs, and an employee stock purchase plan. Together, these programs empower employees to make informed choices that support their personal and professional goals. </w:t>
      </w:r>
    </w:p>
    <w:p>
      <w:pPr>
        <w:pStyle w:val="TextBody"/>
        <w:bidi w:val="0"/>
        <w:spacing w:lineRule="auto" w:line="288" w:before="0" w:after="120"/>
        <w:ind w:left="0" w:right="0" w:firstLine="180"/>
        <w:jc w:val="left"/>
        <w:rPr/>
      </w:pPr>
      <w:r>
        <w:rPr>
          <w:rFonts w:ascii="Times New Roman;serif" w:hAnsi="Times New Roman;serif"/>
          <w:b/>
          <w:i/>
          <w:color w:val="000000"/>
          <w:sz w:val="20"/>
        </w:rPr>
        <w:t>Health &amp; Safety</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Sandisk is committed to maintaining safe and healthy work environments across all our operations.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comprehensive health and safety resources and training for all employees, with additional specialized training for those in manufacturing and operational roles.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Managing health and safety through standardized processes and integrated systems enables us to monitor performance and take actions to promote a safe, productive, and well-managed organization where the health and safety of our employees remain a top priority.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Our worldwide business activities are subject to various laws, rules and regulations of the U.S.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in subsequent periods. For a discussion of associated risks, see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Corporate Responsibility and Sustainability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that sustainability is a strategic driver of long-term business success. Integrating responsible business practices into our operations and decision-making strengthens our ability to manage risk, drive innovation, improve efficiency, and create lasting value for our stakeholders. Our commitment to operating responsibly underlies how we support our people, steward natural resources, engage with our communities, and conduct business with integrity.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Sustainability is embedded in both our day-to-day operations and long-term business strategy. Through initiatives that foster a high-performing workplace, optimize the use of materials and energy, strengthen supply chain resilience, and uphold ethics and compliance policies and practices for our global operations, we enhance our competitiveness and deliver positive environmental and social outcomes. We know that aligning sustainability with our business objectives, ensures a more resilient, responsible, and successful company for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strive to protect the human rights and civil liberties of our employees and partners through policies, procedures and programs that avoid and address risks of compulsory and child labor, both within our company and throughout our supply chain.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foster a workplace of dignity, respect, and growth through our recruiting, professional development and advancement practices, internal communications and employee engagement initiatives.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strive to educate our employees at least annually on relevant ethics and compliance topics, publish accessible guidance on ethics and compliance-related issues and available company resources in our Global Code of Conduct and encourage reporting of ethical concerns through any of several global and local reporting channels.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use a robust integrated management system, with associated policies and procedures, to evaluate and manage occupational health and safety risks, environmental compliance requirements and chemical and hazardous materials risks.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seek to minimize our impact on the environment and strengthen operational resiliency through emissions reduction targets, climate risk assessments and mitigation, and other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continuously innovate to identify opportunities to reduce the energy used in our operations, by our products, and the types of materials required to source energy and manufacture our products.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maintain an Internet website at</w:t>
      </w:r>
      <w:r>
        <w:rPr>
          <w:color w:val="000000"/>
          <w:shd w:fill="FFFFFF" w:val="clear"/>
        </w:rPr>
        <w:t xml:space="preserve"> </w:t>
      </w:r>
      <w:r>
        <w:rPr>
          <w:rFonts w:ascii="Times New Roman;serif" w:hAnsi="Times New Roman;serif"/>
          <w:b w:val="false"/>
          <w:color w:val="000000"/>
          <w:sz w:val="20"/>
          <w:shd w:fill="FFFFFF" w:val="clear"/>
        </w:rPr>
        <w:t>www.sandisk.com.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(the “Exchange Act”), as amended, are available on our website at www.sandisk.com, free of charge, as soon as reasonably practicable after the electronic filing of these reports with, or furnishing of these reports to, th</w:t>
      </w:r>
      <w:r>
        <w:rPr>
          <w:rFonts w:ascii="Times New Roman;serif" w:hAnsi="Times New Roman;serif"/>
          <w:b w:val="false"/>
          <w:color w:val="000000"/>
          <w:sz w:val="20"/>
        </w:rPr>
        <w:t>e U.S. Securities and Exchange Commission (the “SEC”). The SEC maintains a website at www.sec.gov that contains reports, proxy and information statements, and other information regarding issuers that file electronically with the SEC, including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investment in our common stock is subject to a number of risks, including market, financial, regulatory and operational risks related to our business, our separation from Western Digital Corporation (“WDC”) and our common stock. The following is a summary of certain key risk factors for investors in our securities. You should read this summary together with the more detailed description of risks and uncertainties discussed below.</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Operational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global or regional conditions could harm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in our supply chain, other inability to source our supply requirements, or an increase in the costs of materials or components could negatively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operations are subject to a substantial risk of damage or disruption.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attract, retain and develop highly skilled management and technical talent could negatively impact our business prospects.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defects could subject us to costly warranty claims, litigation, indemnification claims or termination of long-term sales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compromise, damage or interruption of our technology infrastructure, systems or products from cybersecurity incidents, data security breaches or other related problems could have a material negative impact on our business.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adversely affected by risks and challenges associated with the use of artificial intelligence (“AI”).</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Business and Strategic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substantially on strategic relationships that subject us to risks and uncertainties.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conditions, including declining average selling prices, volatile demand, technological change, industry consolidation, lengthy product qualifications, and supply constraints, in our industry can negatively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properly manage technology transitions and product development and introduction could harm our competitiveness and operating results.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operating results may fluctuate due to changes in demand, industry cycles and the timing of customer deployments, including AI-related data center investments, and our ability to accurately forecast demand as a result of these changing market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successfully execute on strategic initiatives may negatively impact our future results.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Loss of revenue from a key customer, or customer base consolidation, could harm our operating results.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Long-term agreements, which we also refer to as New Business Models or “NBMs”, expose us to certain execution, financial, and market risks, which could be significant.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Financial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guarantees of certain obligations of Flash Ventures may negatively impact our financial position, and terms and conditions of our revolving credit facility may restrict our operations and ability to respond to future business opportunities.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 may negatively affect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our customers’ credit risk could result in credit losses and term extensions under existing contracts with customers with credit losses could result in an increase in our operating costs.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share repurchase program may not enhance shareholder value and could affect the price of our common stock and reduce our financial flexibility.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Legal and Compliance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comply with laws, rules and regulations related to data use and security could subject us to legal proceedings, penalties, significant liability, loss of customers, loss of revenue or 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or may be subject to legal and regulatory requirements as well as customer, industry and coalition standards, and compliance with those requirements could increase our operating costs and failure to comply may harm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aspirations, disclosures and actions related to sustainability and governance matters expose us to risks that could adversely affect our reputation and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and certain of our officers may at times be involved in litigation, investigations and governmental proceedings, which may be costly and could result in adverse court rulings, fines or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industry’s and our company’s reliance on intellectual property and other proprietary information subjects us to the risk that key components of our business could be copied and also subjects us and our suppliers, customers and partners to the risk of significant litigation.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THE SPIN-OFF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ensure compliance with Section 404 of the Sarbanes-Oxley Act or ineffective internal control over financial reporting could result in uncertainties regarding our financial statements and lead our stock price to suffer.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historical financial information is not necessarily representative of the results that we would have achieved as a separate, public company and may not be reliable as to our future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Mutual indemnification obligations between WDC and us for certain liabilities in connection with the spin-off may not provide the protection we expect and could result in significant liabilities that could adversely affect our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If the distribution of our shares does not continue to qualify for the Intended Tax Treatment or if we fail to preserve such treatment, we, WDC and WDC stockholders could be subject to significant United States (“U.S.”) federal income tax liabilities, and we could be required to indemnify WDC.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implement, on a timely or cost-effective basis, the systems, internal controls, and governance structures necessary to operate effectively as an independent company.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may fluctuate significantly, which may make it difficult to resell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Provisions of Delaware law, our certificate of incorporation and our bylaws may prevent or delay an acquisition of our company, which could decrease the market price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certificate of incorporation contains an exclusive forum provision that could impact stockholder’s ability and interest in bringing lawsuits against us and any of our directors, officers or other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 matters may materially affect our financial position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Provisions in our joint venture agreements with Kioxia Corporation (“Kioxia”) may deter, prevent or delay an acquisition of us, which could decrease the market price of our common stock and limit our future strategic opportunities.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OPERATIONAL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Adverse global or regional conditions could harm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large portion of our revenue is derived from our international operations, and substantially all of our products are produced overseas. As a result, our business depends significantly on global and regional conditions. Adverse changes in global or regional economic conditions, including, but not limited to, volatility in the financial markets, tighter credit, recession, inflation, rising interest rates, slower growth in certain geographic regions, political uncertainty, geopolitical tensions or conflicts, trade war, other macroeconomic factors, or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 Public health crises and related government responses, including widespread disease outbreaks, quarantines, travel restrictions or business shutdowns, can also contribute to volatility in the financial markets, tighter credit conditions, reduced consumer and business spending and other adverse macroeconomic factors, any of which may negatively impact demand for our products and our financial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risks and regulatory obligations associated with our global manufacturing operations and global sales efforts, as well as risks and regulatory obligations associated with our utilization of global suppliers,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governmental approvals and compliance with evolving domestic and foreign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need to comply with regulations on international business, including the Foreign Corrupt Practices Act, the United Kingdom Bribery Act 2010, the anti-bribery laws of other countries and rules regarding conflict minerals;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social, political, immigration, and tax and trade policies in the U.S. and abroad;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exchange, currency and tax controls and reallocations;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continued evolution and implementation of complex global and local tax regimes;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varying levels of protection of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policies and financial incentives by governments in China, the U.S. and countries in Europe and Asia designed to reduce dependence on foreign semiconductor manufacturing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trade barriers, such as export controls, export bans, import restrictions, embargoes, sanctions, license and certification requirements (including semiconductor, encryption and other technology), tariffs and complex customs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managing international operations, including appropriate internal controls;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financial volatility and disruptions to supply chain resulting from public health crises.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there are pending and ongoing investigations initiated by the United States under Section 232 of the Trade Expansion Act of 1962 and Section 301 of the Trade Act of 1974 that may impact tariff rates for Sandisk products. We continue to monitor changes to the U.S. tariff regime to assess potential implications on the Company. Though the majority of our products sold in the U.S. are currently exempt from tariffs,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either directly or as a result of the impact on the business of our customers, are uncertain and may contribute to increased costs and reduced demand for our products, each of which could harm our financial performance.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risks, our business could be harmed.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dependent on a limited number of qualified suppliers who provide critical services, materials or components, and a disruption in our supply chain or other inability to source our supply requirements, or an increase in the costs of materials or components, could negatively affect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an external supply base for technologies, software (including firmware), controllers, dynamic random-access memory (“DRAM”),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 For example, many of our enterprise-grade SSD products incorporate DRAM, which is a commodity component that has experienced supply constraints and may remain in short supply for extended periods. If we are unable to obtain sufficient quantities of DRAM on commercially reasonable terms, we may be required to allocate available flash memory and other resources to products that require less or no DRAM rather than to strategic products that may offer higher margins or stronger long-term growth opportunities. Such constraints could adversely affect our product mix, revenues, gross margins, customer relationships and competitive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suppliers have in the past been, and may in the future be, unable or unwilling to meet our requirements, including as a result of events outside of their control such as trade restrictions (including tariffs, quotas, sanctions, and embargoes), supply chain shortages, labor disputes, geopolitical conflicts, industrial accidents, cybersecurity incidents, public health emergencies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longer lead times,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long-term contracts with some of our existing suppliers, nor do we always have guaranteed manufacturing capacity with many of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Additionally, if such suppliers were to experience operational or financial difficulties, be acquired by a competitor, or fail to perform required obligations under our supply agreements, our ability to source critical components could be impaired, potentially disrupting our product manufacturing and harming our business. We may also cancel or defer outstanding purchase commitments with certain suppliers due to changes in actual and forecasted demand, which may result in fees, penalties and other associated charges. Such cancellations or deferments may also negatively impact our relationships with certain suppliers or lead to a decline in the financial performance of certain suppliers, each of which could result in even more limited availability of components needed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including as a result of canceled or deferred purchase commitments. Where we rely on a limited number of suppliers or a single supplier, the risk of supplier loss due to industry consolidation or a decline in financial performance is increased. Some of our suppliers may also be competitors in other areas of our or their business, which could lead to difficulties in price negotiations or meeting our supply requirements.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operations, and those of certain of our suppliers and customers, are subject to substantial risk of damage or disruption.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at large, high-volume, purpose-built facilities in Japan, Malaysia and other locations in Asia. The facilities of many of our customers, our suppliers and our customers’ suppliers are also concentrated in certain geographic locations throughout Asia and elsewhere. If a fire (including a climate change-related fire), flood, earthquake, tsunami or other natural disaster, condition or event such as power outage, contamination event, water scarcity, terrorist attack, cybersecurity incident, physical security breach, political instability, act of war, civil unrest, localized labor unrest, or a public health crisis or epidemic negatively affects any of these facilities or regions, it could significantly disrupt the supply of wafers, components, equipment or services; impair customer demand; significantly affect our ability to manufacture or sell our products; or otherwise materially adversely affect our business and financial results. Possible impacts include work and equipment stoppages and damage to or closure of our facilities, or those of our suppliers or customers, for an indefinite period of time. Impacts of any of these events may also include closures of our manufacturing facilities, under-absorbed overhead, increased logistics, component and other costs, decreased demand for our products, and manufacturing challenges, delays in production ramps, and interruptions or inefficiencies in our operations. Climate change has in the past increased and is expected to continue to increase, the incidence and severity of certain natural disasters, including wildfires and adverse weather events. In addition, the geographic concentration of our manufacturing sites could exacerbate the negative impacts resulting from any of these problems.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success depends on our ability to attract, retain and develop highly skilled management and technical talent.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on our ability to attract, retain, and develop highly skilled management and technical talent capable of advancing NAND technology in an increasingly complex and competitive global environment. The rapid pace of innovation driven by AI, global research and development competition, evolving models of work, and intensifying customer demands for faster, more efficient solutions has significantly raised the bar for the technical expertise required to power current and next-generation technologies. As a result, acquiring and retaining such talent has become increasingly difficult. If we are unable to hire and retain key talent and to effectively manage succession planning for key leadership roles, our operating results could be harmed.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Constraints on global talent mobility and hiring, including changes in immigration laws and policies, travel restrictions, work permits regulation and administration, government restrictions to contain the spread of infectious disease, and limitations on the ability of employees to enter, leave, or return to jurisdictions in which we operate, may also affect our ability to attract and retain the specialized skills needed to support our business and may disrupt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compensation program, we grant equity incentives to our senior leaders to align their interests with stockholder interests and incentivize these leaders to further deliver stockholder value. The unvested value of these awards has appreciated materially as a result of our stock price performance in fiscal 2026. These awards generally vest either in February 2028 or September 2028. If the value of these awards at such time remains materially appreciated above their grant date values, we could experience attrition among these leaders when the awards vest. While our Board of Directors (the “Board”) and management are focused on continued incentives for, and retention of, this group, if we were to lose one or more of our senior leaders following the vest date of these awards, we could experience difficulties in finding qualified successors, competing effectively, executing our business plan and implementing our business strategy, which could adversely impact our operations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continue to invest in employee development, workforce planning, and structural agility, the speed and complexity of technological change and market demands create ongoing people-related risks that may impact our ability to sustain long-term innovation and operational performance.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warranties on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face termination of long-term sales agreements and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OEMs and OEM customers. Our business liability insurance may be inadequate or future coverage may be unavailable on acceptable terms, which could negatively impact our operating results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standard warranty provisions attempt to put limits on damages and exclude liability for consequential damages and for misuse, improper installation, alteration, accident or mishandling while in the possession of someone other than us, but may be unenforceable or fail to limit our liability as intended. We record estimated warranty costs at the time revenue is recognized and subsequently review and adjust those estimates as additional information becomes available.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compromise, damage or interruption of our technology infrastructure, systems or products by cybersecurity incidents, data security breaches, other security problems, design defects or system failures could have a material negative impact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experience cybersecurity incidents of varying degrees on our technology infrastructure and systems and, as a result, unauthorized parties may obtain access to our computer systems and networks, including cloud-based platforms.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technology infrastructure and systems of some of our suppliers, vendors, service providers, contract manufacturers, cloud solution providers and partners have in the past experienced, and may in the future experience, such incidents. Cybersecurity incidents can be caused by ransomware, computer denial-of-service attacks, data exfiltration,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Cybersecurity incidents may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may reduce the functionality or performance of our computer systems and networks, which could negatively impact our business. We believe malicious cybersecurity acts are increasing in number and that cybersecurity threat actors are increasingly organized and well-financed or supported by state actors, and are developing increasingly sophisticated systems and means to not only infiltrate systems, but also to evade detection or to obscure their activities. Geopolitical tensions or conflicts may create heightened risk of cybersecurity incidents.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increasing use of AI, including generative AI, agentic AI and AI-enabled automation technologies, may elevate the risk of cybersecurity incidents, whether through our authorized use of such technologies to perform business or operational tasks with limited human oversight or through malicious use by threat actors to automate, scale or adapt attacks against our systems, products, employees, customers, suppliers or partners. These technologies may be leveraged by threat actors to generate more convincing phishing or social engineering content, identify and exploit vulnerabilities more efficiently, create malicious code that is more difficult to detect, or automate, scale, adapt or obscure cyberattacks. In addition, AI systems may inadvertently expose sensitive information if not properly secured, governed, configured, monitored, or connected to systems or data containing confidential information. As AI tools become more accessible and sophisticated, the potential for their misuse increases, further complicating efforts to detect, prevent, and respond to cybersecurity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products are also targets for malicious cybersecurity acts.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which could harm our business by exposing us to litigation and indemnification claims and hurting our reputation. In addition, our products themselves may contain vulnerabilities, whether due to design flaws, implementation errors, or integration with third-party components, that could be exploited to gain unauthorized access to or disrupt functionality of the product. These vulnerabilities may be identified internally or disclosed by external security researchers, independent entities, or other third parties, including in the form of previously unknown or zero-day exploits. 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Compromises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breaches, we may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may be adversely affected by the risks, challenges, and evolving regulatory landscape associated with the use of AI in our operations, product development, and business practices.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leveraging AI technologies, including generative AI applications and tools, to support and enhance our various operational processes. While AI may promote efficiency and offer analytical advantages, it is complex and rapidly-changing, and its implementation carries inherent risks. Implementation of AI technologies can be costly and time-consuming, and the effectiveness or potential benefits of such technologies may vary depending on use case, integration, and oversight. The incorporation of AI algorithms or training methodologies into our operations or decision-making processes may result in flawed, irrelevant, insufficient, inaccurate, biased or non-compliant outputs, potentially impacting our strategic choices, operational effectiveness, and regulatory compliance. These inaccuracies can arise from limitations in training data, algorithmic design, or unintended consequences of machine learning models. Actual or perceived deficiencies, failures or misuse in our implementation or use of AI could result in competitive disadvantages, operational inefficiencies, regulatory action, legal liability, brand or reputational harm, and negative financial results.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AI in the development of our products could potentially lead to ambiguities in intellectual property ownership, infringement or misappropriation risks, which could impact our competitive position and expose us to litigation, monetary penalties, or operational disruptions. The unauthorized or unapproved use of generative AI tools by our employees, contractors, or other third parties, as well as overreliance on AI automation or agentic AI without appropriate human oversight, may lead to the inadvertent disclosure of confidential, proprietary, or personal information, flawed or unauthorized actions, or other adverse consequences, including disruptions to business operations, exposing us to data security, privacy, legal, regulatory, and reputational risks. Misuse of such tools can also result in violations of applicable laws and regulations, including data protection and intellectual property laws. As legal and regulatory frameworks surrounding AI continue to evolve, we may be required to adapt our practices, policies, or systems, which could increase operational costs, limit innovation, or expose us to liability. This could materially affect our operations, financial condition, and ability to achieve our strategic objectives.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BUSINESS AND STRATEGIC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rely substantially on strategic relationships with various partners, including Kioxia, which subjects us to risks and uncertainties that could harm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our agreements with Kioxia with respect to Flash Ventures require that substantially all of our flash-based memory be obtained from Flash Ventures, which limits our ability to respond to market demand and supply changes and makes our financial results particularly susceptible to variations from our forecasts and expectations. For example, we are contractually obligated to pay for 50% of the fixed costs of Flash Ventures regardless of whether we order any flash-based memory, and our orders placed with Flash Ventures on a rolling basis are binding. As a result, a failure to accurately forecast supply and demand could cause us to over-invest or under-invest in inventory, technology transitions or the expansion of Flash Ventures’ capacity. Over-investment by us or our competitors can result in excess supply and lead to significant decreases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our product prices, significant excess, obsolete inventory or inventory write-downs or underutilization charges, and the potential impairment of our investments in Flash Ventures. For example, in 2023, WDC incurred $296 million in charges for unabsorbed manufacturing overhead costs as a result of reduced utilization of its manufacturing capacity and $108 million in charges to write down its inventory as a result of decreases in market pricing. In 2025, we incurred</w:t>
      </w:r>
      <w:r>
        <w:rPr>
          <w:color w:val="000000"/>
          <w:shd w:fill="FFFFFF" w:val="clear"/>
        </w:rPr>
        <w:t xml:space="preserve"> </w:t>
      </w:r>
      <w:r>
        <w:rPr>
          <w:rFonts w:ascii="Times New Roman;serif" w:hAnsi="Times New Roman;serif"/>
          <w:b w:val="false"/>
          <w:color w:val="000000"/>
          <w:sz w:val="20"/>
        </w:rPr>
        <w:t>$75 million in charges as a result of underutilization of our manufacturing capacity and $24 million in charges to write down our inventory. These charges were attributable to a significant imbalance of supply and demand and actions taken in response thereto.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 In addition, while Flash Ventures is operating, our agreements with Kioxia contain certain limitations on our ability to work with third parties to manufacture flash-based memory or to fabricate flash-based memory beyond the capacity specified in the agreements, or to manufacture flash-based memory ourselves except to the extent that we acquire any manufacturing capacity of a Flash Ventures entity as a result of that entity’s dissolution, termination of its joint venture agreements or acquisition by us. This could also impair our ability to consolidate with other industry participants who manufacture flash-based memory.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control over the operations of our business ventures may be limited, and our interests could diverge from our strategic partners’ interests regarding ongoing and future activities. For example, each Flash Ventures entity operates for a defined period of time agreed upon between the joint venture partners. Absent further extensions as mutually agreed between us and Kioxia, Flash Partners Ltd., Flash Alliance Ltd. and Flash Forward Ltd. are currently set to expire on December 31, 2034. Each Flash Ventures entity’s joint venture agreements may also earlier terminate upon the occurrence of certain specified events, including earlier dissolution by agreement of the parties or an event of default or bankruptcy. Upon the expiration of a Flash Ventures entity’s joint venture agreements,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 Although we and Kioxia have agreed to extend the operating period for each Flash Ventures entity since the start of Flash Ventures, there is a risk that we and Kioxia will be unable to agree on a further extension of one or more of the Flash Ventures entities. Additionally, under the Flash Ventures agreements, we cannot unilaterally direct most of Flash Ventures’ activities, and we have some limitations on our ability to source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react quickly to changes in the market, or to stay at the forefront of technological advancement. Misalignment could arise due to changes in Kioxia’s strategic priorities, management, ownership or access to capital, which have changed in recent years and could continue to change. Kioxia’s stakeholders may include, or have included in the past, competitors, customers, a private equity firm, government entities or public stockholders.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intellectual property and competitively sensitive confidential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Together with Kioxia, we have funded, and may continue to fund, a portion of the investments required for Flash Ventures through lease financings. Continued availability of lease financings for Flash Ventures is not guaranteed and could be limited by several factors, including investor capacity and risk allocation policies, our or Kioxia’s financial performance, changes to our or Kioxia’s financing strategy, business, ownership or corporate structure and the availability of tools and equipment eligible for lease financing. To the extent that lease financings are not accessible on favorable terms or at all, more cash would be required to fund investments.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relationships are subject to additional risks that could harm our business, including, but not limited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our strategic partners to comply with applicable laws or employ effective internal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and delays in product and technology development at, ramping production at and transferring technology to, our strategic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declining financial performance of our strategic partners, including failure by our strategic partners to timely fund capital investments with us or otherwise meet their commitments, including paying amounts owed to us or third parties when due;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lose the rights to, or ability to independently manufacture, certain technology or products being developed or manufactured by strategic partners, including if any of them is acquired by another company, files for bankruptcy or experiences financial or other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bankruptcy event involving a strategic partner could result in structural changes to or termination of the strategic partnership;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tax or regulatory requirements may necessitate changes to the agreements governing our strategic partnerships.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participate in a highly competitive industry that has been, and may continue to be, subject to declining average selling prices, volatile demand, rapid technological change and industry consolidation, as well as lengthy product qualifications, all of which can negatively impact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Demand for our devices, software and solutions, which we refer to in this “Risk Factors” section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Demand for and prices of our products are influenced by, among other factors, actual and projected data growth, the balance between supply and demand in the storage market, including the effects of new fab capacity, macroeconomic factors and geopolitical tensions, including tariffs or trade restrictions, business conditions, technology transitions and other actions taken by us or our competitors. The storage market has in the past experienced, and may continue to experience, periods of excess capacity leading to liquidation of excess inventories, inventory write-downs, underutilization charges, significant reductions in average selling prices and negative impacts on our revenue and gross margins, and volatile product life cycles that harm our ability to recover the cost of product development.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our average selling prices and gross margins tend to decline when there is a meaningful shift in the mix of product sales to lower priced products. We have faced declining gross margins relating to our business in the past, and may face potential gross margin pressures in the future, resulting from our average selling prices declining more rapidly than our cost of revenue. Rapid technological changes have reduced, and may reduce in the future, the volume and profitability of sales of existing products and increase the risk of inventory obsolescence and write-downs. Finally, the semiconductor memory chip and data storage industries have experienced consolidation over the past several years, which could enhance the resources and lower the cost structure of some competitors. These factors could result in a substantial decrease in our market share and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compete in new product areas, the overall complexity of our business may increase and may result in increases in research and development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(including DRAM), which may allow them to win sales from us or to more efficiently maintain product availability, pricing, and margins on products that incorporate DRAM, such as enterprise-grade SSDs. Some of our customers may also be developing storage solutions internally, which may reduce their demand for our products or shift their demand to potentially lower-margin component products. We expect that competition will continue to be intense, and our competitors may be able to gain a product offering or cost structure advantage over us, which would harm our business. Further, our competitors may utilize pricing strategies, including through aggressive expansion of their output capacities, which may allow them to offer products at prices at levels that we may be unable to competitively match.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also have difficulty effectively competing with manufacturers benefiting from governmental investments and may be subject to increased complexity and reduced efficiency in our supply chain as a result of governmental efforts to promote domestic semiconductor industries in various jurisdictions.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If we do not properly manage technology transitions and product development and introduction, our competitiveness and operating results may be negatively affected.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continuously undergo technology transitions that may impact our product roadmaps and that we must anticipate in order to adapt our existing products or develop new products effectively. Additionally, advances in NAND technology, including higher-capacity and higher-layer architectures, as well as increasing customer requirements for performance, reliability, security, and power efficiency, may increase the complexity of our product development, qualification, manufacturing, and commercialization. If we fail to adapt to or implement new technologies or develop new products desired by our customers quickly and cost-effectively, or if technology transitions negatively impact our existing product roadmaps, our business may be harmed.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success of our technology transitions and product development depends on a number of other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expenses and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faced in manufacturing ramp;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acceptance/qualification;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 management of inventory levels in line with anticipated product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vertical integration of some of our products, which may result in more capital expenditures and greater fixed costs than if we were not vertically integrated;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cost effectively respond to customer requests for new products or features (including requests for more efficient and efficiently produced products with reduced environmental impacts) and software associated with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increase our software development capability;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go-to-market capability in selling new products.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new technologies could impact demand for our products in unforeseen or unexpected ways that could harm our business. For example, new products could substitute for our current products and make them obsolete, or new technologies could reduce the importance of and demand for our technology. In particular, demand for our products depends increasingly on the use of NAND flash memory in AI infrastructure, and new or alternative technologies could emerge that perform these functions more efficiently or reduce the storage required per unit of AI compute. If adopted at scale, such technologies could rapidly reduce or eliminate the importance of, and demand for, our technology in the AI infrastructure. We also develop products to meet certain industry and technical standards, which may change and cause us to incur substantial costs as we adapt to new standards or invest in different manufacturing processes to remain competitive.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operating results may fluctuate due to changes in demand, industry cycles and the timing of customer deployments, including AI-related data center investments, and our ability to accurately forecast demand as a result of these changing market conditions.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of certain of our products tend to be seasonal and subject to supply-demand cycles. As our business has increasingly shifted toward enterprise and datacenter applications, and as we have entered into multi-year agreements with certain customers that provide greater visibility into future demand, the impact of traditional seasonality and certain supply-demand fluctuations has been reduced. Nonetheless, our business remains subject to changes in seasonal and cyclical supply and demand patterns, which have made it, and could continue to make it, more difficult for us to forecast demand. Additionally, demand for certain of our products is increasingly influenced by AI-related deployments and our customers’ and partners’ ability to timely build complex data center infrastructure. AI as a new demand driver is evolving rapidly, and the expected timing and magnitude of demand related to AI are difficult to predict. Delays in data center build-outs could result in excess inventory, underutilization of capacity, or other costs if anticipated demand does not materialize or is not sustained. As a result of the above or other factors, our forecast of financial results for a given quarter may differ materially from our actual financial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variety and volume of products we manufacture are based in part on accurately forecasting market and customer demand for our products. While multi-year agreements with certain customers provide increased visibility into future demand and may reduce forecasting uncertainty for portions of our business, our ability, as well as our customers’ and suppliers’ ability, to accurately forecast demand, remains difficult due to volatility in global economic conditions, evolving end market dynamics, customer deployment schedules, and industry consolidation. Further, for many of our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Inaccurate demand forecasts could result in periods of product oversupply or undersupply, with the consequences described above under the “We rely substantially on strategic relationships with various partners, including Kioxia” and “We participate in a highly competitive industry” risk factors.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Failure to successfully execute on strategic initiatives including acquisitions, divestitures or cost saving measures may negatively impact our future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make acquisitions and divestitures and engage in cost saving measures. In order to successfully execute on strategic initiatives, we must successfully complete attractive transactions, some of which may be large and complex, and manage post-closing issues such as integration of an acquired company or employees and integration of processes and systems. We may not be able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may result in inconsistencies in standards, controls, procedures and policies and may increase the risk that our internal controls are found to be ineffective.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made an equity investment in Nanya Technology Corporation (“Nanya”).The value of our investment could be impaired by adverse changes in Nanya’s financial performance, operating results, or market conditions, which could result in losses or impairment charges that adversely affect our results of operations. Similarly, increases in the value of our investment could influence our financial results in accordance with GAAP accounting in a manner that is not representative of our core business, and regulatory restrictions on cross-border semiconductor investments, including potential outbound investment screening requirements, could constrain our ability to realize the full value of this investment.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saving measures, restructurings and divestitures may result in workforce reduction or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will not forgo future business opportunities as a result of these 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Acquisitions and alliance activities inherently involve other risks as well. Additional risks we may encounter include those associated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business and the continued successful execution of our company strategy, goals and responsibilities;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capital and research and development expenses and resource allocation;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assimilation and integration of different business operations, corporate cultures, personnel, infrastructures and technologies or solutions acquired or licensed, while maintaining quality, and designing and implementing appropriate risk management measures;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incurrence of significant transaction fees and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unknown liabilities within the acquired or combined business that we may not become aware of until after the completion of the acquisition;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possibility of conflict with joint venture or alliance partners regarding strategic direction, prioritization of objectives and goals, governance matters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Loss of revenue from a key customer, or consolidation among our customer base, could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2026, 2025, and 2024, 44%, 40% and 41%, respectively, of our total revenue came from sales to our top ten customers. These customers have a variety of suppliers to choose from and therefore can make substantial demands on us, including demands on product pricing, contractual terms and the environmental impact and attributes of our products, often resulting in the allocation of risk or increased costs to us as the supplier. Our ability to maintain strong relationships with our principal customers is essential to our future performance. We may experience events such as the loss of a key customer, prohibition or restriction of sales to a key customer by law, regulation or other government action, reductions in sales to or orders by a key customer, reductions in customer demand due to technological changes, or customer requirements to reduce our prices before we are able to reduce costs or the acquisition of a key customer by one of our competitors. These events may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Long-term agreements, which we also refer to as New Business Models or “NBMs”, expose us to certain execution, financial, and market risks, which could be significant.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long-term agreements with certain customers, which we also refer to as New Business Models or “NBMs”, that commit us to deliver, and our customers to purchase, a stated volume of products, mostly over multi-year periods. Our ability to fulfill our obligations under these agreements depends on a number of factors, including our manufacturing capacity, production yields, supply chain performance, and the availability of raw materials and other critical inputs. If we are unable to deliver products in the quantities, at the times, or meeting the specifications required under these agreements, we may face contractual damages, other financial penalties, or early termination. There can be no assurance that we will be able to perform these contractual obligations throughout the contract terms without disruption or shortfall. Any failure to perform could harm our customer relationships, damage our reputation, and, in the aggregate, might have a material adverse effect on our results of operations and financial condition.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a customer were to breach its purchase obligations, or if we were to breach our obligations and a customer were to terminate or reduce its volume commitments, we may need to find alternative customers for any affected product volumes. Depending on market conditions at the time, we may be unable to resell those products at comparable prices, or at all, which could result in reduced revenue, lower margins, excess inventory, or manufacturing underutilization or asset impairment charges. Additionally, a customer’s failure to satisfy its contractual purchase commitments may require us to enforce our contractual rights or pursue other remedies, and any resulting disputes, litigation, arbitration, or other proceedings could be costly, time-consuming, and could adversely affect our business or customer relationships. Any such disputes, lost sales, reduced pricing, or operational inefficiencies resulting from such contractual breach could have a material adverse effect on our business, results of operations, and financial condition.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these long-term agreements may constrain a portion of our available supply and limit our flexibility to respond to changes in market conditions, including shifts in demand, pricing opportunities, or customer requirements. As a result, we may be unable to allocate product volumes to other customers or market opportunities that could be more favorable, which could adversely affect our business, results of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Each agreement includes certain financial guarantees that are intended to protect us if the customer fails to perform its purchase obligations. In such event, these financial guarantees are intended to offset a portion of revenue that may be lost due to the customer’s failure to perform its purchase obligations, but they may not fully offset such lost revenue depending on the specific circumstances of such failure to perform, when during the contract term the customer’s failure to perform were to occur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guarantees of certain obligations of Flash Ventures could negatively impact our financial position, and the loan agreement governing our revolving credit facility contains various covenants and restrictions that may restrict our operations and ability to respond to future business opportunities.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guarantee a significant amount of lease and other financial obligations of Flash Ventures owed to third parties. In particular, Flash Ventures sells to and leases back a portion of its equipment from a consortium of financial institutions. All of the lease obligations are guaranteed 50% by us and 50% by Kioxia. The leases are subject to customary covenants and cancellation events that relate to Flash Ventures and each of the guarantors.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agreement governing our existing revolving credit facility includes: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limitations on our ability to obtain additional financing for working capital, capital expenditures, acquisitions, capital contributions to Flash Ventures or other general corporate purposes;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imposition of financial and other restrictive covenants on our operations and limitations on our ability to (i) declare or pay dividends or repurchase shares of our common stock; (ii) purchase assets, make investments, complete acquisitions, consolidate or merge with or into, or sell all or substantially all of our assets to, another person; (iii) enter into sale/leaseback transactions or certain transactions with affiliates; (iv) incur additional indebtedness; and (v) incur liens.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comply with our debt covenants will depend on our financial performance, which may be affected by financial, business, economic and other factors.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incurred under our revolving credit facility is subject to an applicable margin that is determined by reference to our consolidated leverage ratio. As a result, an increase in our consolidated leverage ratio could result in increased interest expense and debt service obligations in the event that we draw on the revolving credit facility.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Fluctuations in currency exchange rates as a result of our international operations may negatively affect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we manufacture our products overseas and sell a large portion of our products abroad, fluctuations in foreign currency exchange rates affect our revenue, cost of revenue, margins, operating costs and cash flows. If the U.S. dollar experiences sustained weakness against certain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negatively impact demand and revenue growth. In addition, currency variations may adversely affect margins on sales of our products in countries outside the U.S.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historically attempted to manage the impact of foreign currency exchange rate changes by, among other things, entering into short-term foreign exchange contracts. The effectiveness of this hedging strategy is highly dependent on business, market and global economic conditions. We do not hedge all of our foreign currency exchange rate exposure, and even when used for hedging purposes, foreign exchange contracts can be canceled by the counterparty if currency controls are put in place and may actually harm our operating results. Further, the ability to enter into foreign exchange contracts with financial institutions is based upon our available credit from such institutions and compliance with covenants and other restrictions. Operating losses, third-party downgrades of our credit rating or instability in the worldwide financial markets could impact our ability to effectively manage our foreign currency exchange rate risk. Hedging also exposes us to the credit risk of our counterparty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Increases in our customers’ credit risk could result in credit losses and term extensions under existing contracts with customers with credit losses could result in an increase in our operating costs.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OEM customers have adopted a subcontractor model that requires us to contract directly with companies, such as original design manufacturers,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amount and timing of our share repurchases may fluctuate, and share repurchases may not enhance shareholder value and could affect the price of our common stock and reduce our financial flexibility.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our Board authorized a share repurchase program of up to $6.0 billion of our common stock, and in August 2026, the Board authorized an additional share repurchase program of up to $14.0 billion of our common stock. The Board may continue to authorize further repurchase programs from time to time. The authorization does not obligate us to repurchase any particular amount of stock and may be modified, suspended, or terminated at any time. The amount and timing of repurchases will depend on a variety of factors, including general market conditions; our financial condition and operating results; tax regulations impacting share repurchases; the share price of our common stock; contractual restrictions, such as financial or operating covenants in our debt arrangements; our level of cash flow; other priorities for use of cash; and alternative investment opportunities.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guarantee that repurchases under the program will enhance shareholder value. Repurchases may be made at prices that exceed future market prices and may not result in efficient use of capital. In addition, funds used for share repurchases will reduce the cash available for other purposes, including investments in our business, technology development, capacity expansion, acquisitions, working capital needs, and debt repayment.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existence of the repurchase program may create expectations among investors regarding the level, timing, and continuity of repurchases. Any reduction, suspension, or discontinuation of repurchases, or any failure to repurchase shares at levels anticipated by investors, could negatively affect the market price of our common stock. Repurchase activity may also increase volatility in the trading price of our common stock.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LEGAL AND COMPLIANCE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subject to laws, rules and regulations relating to the collection, use, transfer,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privacy laws, rules and regulations relating to how we collect, use, transfer, and secure third-party data, including data that relates to or identifies an individual person. We are also subject to the terms of our privacy policies and obligations to third parties related to privacy, data protection and cybersecurity. In many cases, these requirements apply not only to third-party transactions, but also to transfers of information between us and our subsidiaries, and among us, our subsidiaries and other parties with which we have commercial relations. Our possession and use of third-party personal data, including customer and employee personal data used in conducting our business, subjects us to legal and regulatory burdens that require us to notify vendors, customers, employees, or other parties with which we have commercial relations of a data security breach and to respond to regulatory inquiries and to enforcement proceedings. Privacy laws and regulations relating to the collection, use, transfer, and security of third-party personal data change over time and new laws and regulations become effective from time to time. We are subject to notice and privacy policy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Compliance requirements or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or may in the future be subject to state, federal and international legal and regulatory requirements, such as environmental, labor, health and safety, trade and public-company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and may become subject to additional, U.S. state and federal, and international laws and regulations governing our environmental, labor, trade, financial transactions, health and safety practices and public-company reporting and disclosures requirements. These laws and regulations, particularly those applicable to our international operations, are or may be complex, extensive and subject to change. Implementing compliance with such laws and regulations may result in an increase in our operating costs, and failure to comply with such laws and regulations could also lead to significant liabilities. Legislation has been, and may in the future be, enacted in locations where we manufacture, ship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aspirations, disclosures and actions related to sustainability and governance matters expose us to risks that could adversely affect our reputation and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Sandisk’s commitment and actions to operate responsibly, there is demonstrated interest from customers, investors, business partners, associates, and other stakeholders regarding Sandisk’s assessment and management of relevant sustainability and governance matters. Where matters, or aspects of a matter, are determined to be material, we may announce initiatives and goals to mitigate such risks from time to time, for example, our intentions regarding operational energy use and efficiency as reflected in Sandisk’s commitment to net zero emissions by 2040. These goals reflect our current plans and aspirations; they are not guarantees that we will be able to achieve them. Our ability to achieve any sustainability objective is subject to numerous factors, including risks, many of which may be outside of our control. These may include availability and cost of clean energy sources, the evolving regulatory and reporting requirements affecting sustainability practices and disclosures, where and how our products are used and any related implications of associated greenhouse gas emissions, and successful execution of our business strategy. Our failure to achieve our goals or accurately track and report on our performance in a timely basis, or in accordance with regulatory requirements, and the potential added costs involved, could adversely affect our reputation; financial performance and growth; and our attractiveness as a business partner or supplier, and could expose us to increased litigation risk, as well as increased scrutiny from the investment community and enforcement authorities.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and certain of our officers may at times be involved in litigation, investigations and governmental proceedings, which may be costly, may divert the efforts of our key personnel and could result in adverse court rulings, fines or penalties, which could materially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litigation, including antitrust and commercial matters, putative securities class action suits and other actions. We may be the plaintiff in some of these actions and the defendant in others. Some of the actions may seek injunctive relief, including injunctions against the sale of our products, and substantial monetary damages, which if granted or awarded, could materially harm our business. From time to time, we may also be the subject of inquiries, requests for information, investigations and actions by government and regulatory agencies regarding our business. Any such matters could result in material adverse consequences to our results of operations, financial condition or ability to conduct our business, including fines, penalties or restrictions on our business activities.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may be complex, may extend for a protracted period of time, may be very expensive, and the expense may be unpredictable. Litigation initiated by us could also result in counter-claims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nature of our industry and its reliance on intellectual property and other proprietary information subjects us and our suppliers, customers and partners to the risk of significant litigation.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data storage industry has been characterized by significant litigation. This includes litigation relating to patent and other intellectual property rights, product liability claims and other types of litigation. We have historically been involved in frequent disputes regarding patent and other intellectual property rights, and we and our customers have in the past received, and we and our customers may in the future receive, communications from third parties asserting that certain of our products, processes or technologies infringe upon their patent rights, copyrights, trademark rights or other intellectual property rights. Even if we believe that such claims are without merit, they may be time-consuming and costly to defend against and may divert management’s attention and resources away from our business. We may also receive claims of potential infringement if we attempt to license intellectual property to others. Intellectual property risks increase when we enter into new markets where we have little or no intellectual property protection as a deterrent against litigation. The complexity of the technology involved and the uncertainty of intellectual property litigation increase the intellectual property risks we face. Litigation may be expensive, lengthy and disruptive to normal business operations. Moreover, the results of litigation are inherently uncertain and may result in adverse rulings or decisions. We may be subject to injunctions, enter into settlements or be subject to judgments that may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incorporate third-party technology into our products or if claims or actions are asserted against us for alleged infringement of the intellectual property of others, we may be required to obtain a license or cross-license, modify our existing technology or design a new non-infringing technology. Such licenses or design modifications may be extremely costly. We evaluate notices of alleged patent infringement and notices of patents from patent holders that we receive from time to time. We may decide to settle a claim or action against us, which settlement could be costly. We may also be liable for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from time to time, we agree to indemnify certain of our suppliers and customers for alleged intellectual property infringement. The scope of such indemnity varies but may include indemnification for direct and consequential damages and expenses, including attorneys’ fees. We may be engaged in litigation as a result of these indemnification obligations. We do not maintain insurance coverage for third-party patent infringement claims. A future obligation to indemnify our customers or suppliers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reliance on intellectual property and other proprietary information subjects us to the risk that these key components of our business could be copied by competitors.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proprietary nature of our technology, including non-patentable intellectual property such as our process technology. If we fail to protect our technology, intellectual property or contract rights, our customers and others may seek to use our technology and intellectual property without the payment of license fees and royalties, which could weaken our competitive position, reduce our operating results and increase the likelihood of costly litigation.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may be able to use similar technology to compete with us. Moreover, the defendant in such an action may successfully countersue us for infringement of their patents or assert a counterclaim that our patents are invalid or unenforceable. Also, the laws of some foreign countries do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we cannot be certain that these contracts and safeguards have not been and will not be breached, that we will be able to timely detect unauthorized use or transfer of our technology and intellectual property, that we will have adequate remedies for any breach, or that our trade secrets will not otherwise become known or be independently discovered by competitors. Any of our registered or unregistered intellectual property rights may be challenged or exploited by others in the industry, which could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Maintaining and strengthening our brands are important to maintaining and expanding our business, as well as to our ability to enter into new markets for our technologies, products and services. The success of our brands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of our branded products, our share and our gross margin, as well as increase our administrative costs related to brand protection and counterfeit detection and prosecution. Additionally, our ability to prevent unauthorized uses of our brands and technologies would be negatively impacted if our trademark registrations were successfully challenged or overturned in the jurisdictions where we do business. We also have trademark applications pending in a number of jurisdictions that may not ultimately be granted, or if granted, may be challenged or invalidated, in which case we would be unable to prevent unauthorized use of our brands and logos in such jurisdictions. We have not filed trademark registrations in all jurisdictions where our brands or logos may be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THE SPIN-OFF</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If we are unable to satisfy the requirements of Section 404 of the Sarbanes-Oxley Act, or our internal control over financial reporting is not effective, the reliability of our financial statements may be questioned, and our stock price may suffer.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any company subject to the reporting requirements of the U.S. securities laws to do a comprehensive evaluation of its and its consolidated subsidiaries’ internal control over financial reporting. We and our independent registered public accounting firm are required to formally attest to the effectiveness of our internal control over financial reporting for the first time in connection with this annual report on Form 10-K. To comply with this statute, we are required to annually document and test our internal control procedures, our management is required to assess and issue a report concerning our internal control over financial reporting and our independent registered public accounting firm is required to issue an opinion on our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If our management concludes that our internal control over financial reporting is not effective, or we identify material weaknesses in our internal controls, any remedial actions required could divert internal resources and take a significant amount of time and effort to complete, and could result in us incurring additional costs that we did not anticipate, including the hiring of outside consultants. Further, our ability to produce timely and accurate financial statements or comply with applicable regulations could be impaired, which could lead to weakened investor confidence in our financial results, and our stock price may suffer.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were spun off from our former parent company, WDC, and our historical financial information is not necessarily representative of the results that we would have achieved as a separate, publicly traded company and therefore may not be a reliable indicator of our future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were spun off from WDC, our former parent company, and have only operated as an independent, publicly traded company since February 21, 2025. Some of the historical information about us in this annual report on Form 10-K refers to our business as part of pre-spin-off WDC. Our historical financial information included in this annual report on Form 10-K is derived from the consolidated financial statements of Sandisk and the combined financial statements and accounting records of WDC. Accordingly, the historical financial information included in this annual report on Form 10-K does not necessarily reflect the financial condition, results of operations or cash flows that we would have achieved as a separate, publicly traded company during the periods presented or those that we will achieve in the future.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example, in preparing our financial statements, pre-spin-off WDC made allocations of costs and corporate expenses deemed to be attributable to our business. However, these costs and expenses reflect the costs and expenses attributable to how our business operated as part of a larger organization and do not necessarily reflect costs and expenses that would be incurred by us had we been operating independently. As a result, our historical financial information may not be a reliable indicator of future results.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For additional information about the past financial performance of our business and the basis of presentation of the current and historical financial statements, see the sections of this annual report on Form 10-K entitled </w:t>
      </w:r>
      <w:r>
        <w:rPr>
          <w:color w:val="000000"/>
        </w:rPr>
        <w:t>“</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Management’s Discussion and Analysis of Financial Condition and Results of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In connection with our spin-off from WDC, we and WDC have assumed certain indemnification obligations. These indemnification obligations may not provide the protection we expect and could result in significant liabilities that could adversely affect our financial results.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Pursuant to agreements entered into in connection with our separation from WDC, WDC has agreed to indemnify us for certain liabilities, and we have agreed to assume, and indemnify WDC for, certain liabilities, as discussed further in the section of this annual report on Form 10-K entitled </w:t>
      </w:r>
      <w:r>
        <w:rPr>
          <w:color w:val="000000"/>
        </w:rPr>
        <w:t>“</w:t>
      </w:r>
      <w:r>
        <w:rPr>
          <w:rFonts w:ascii="Times New Roman;serif" w:hAnsi="Times New Roman;serif"/>
          <w:b w:val="false"/>
          <w:i/>
          <w:color w:val="000000"/>
          <w:sz w:val="20"/>
        </w:rPr>
        <w:t>Transactions with Western Digital Corporation—Separation and Distribution Agreement and Other Transactions with WDC.”</w:t>
      </w:r>
      <w:r>
        <w:rPr>
          <w:color w:val="000000"/>
        </w:rPr>
        <w:t xml:space="preserve"> </w:t>
      </w:r>
      <w:r>
        <w:rPr>
          <w:rFonts w:ascii="Times New Roman;serif" w:hAnsi="Times New Roman;serif"/>
          <w:b w:val="false"/>
          <w:color w:val="000000"/>
          <w:sz w:val="20"/>
        </w:rPr>
        <w:t xml:space="preserve">Third parties could also seek to hold us responsible for liabilities that WDC has agreed to retain, and there can be no assurance that the indemnity from WDC will be sufficient to protect us against the full amount of such liabilities, or that WDC will be able to fully satisfy its indemnification obligations. In addition, WDC’s insurers may attempt to deny coverage to us for liabilities associated with certain occurrences of indemnified liabilities prior to the spin-off.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if we are required to make payments pursuant to our indemnification obligations to WDC, such payments could be significant and could adversely affect our business, financial condition, results of operations and cash flows, particularly indemnities relating to our actions that could impact the tax-free nature of the distribution. As a result, indemnification arrangements related to the spin-off may subject us to substantial liabilities and financial obligations that could materially and adversely affect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If the distribution of our shares, together with certain related transactions, does not continue to qualify for the Intended Tax Treatment, Sandisk, WDC and WDC stockholders could be subject to significant U.S. federal income tax liabilities and, in certain circumstances, we could be required to indemnify WDC for material taxes pursuant to indemnification obligations under the tax matters agreement. We are also restricted from taking certain actions that could adversely impact the Intended Tax Treatment to preserve the tax-free treatment to WDC and its stockholders and to comply with the tax matters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condition to the completion of the distribution, WDC received an opinion of counsel (the “Tax Opinion”) that, among other things, the distribution, together with certain related transactions, qualifies for the Intended Tax Treatment. The Tax Opinion was based on and relies on certain facts, assumptions, representations and undertakings from WDC and us, including those regarding the past and future conduct of the companies’ respective businesses and other matters. Nevertheless, an opinion of counsel neither binds the Internal Revenue Service (the “IRS”) nor precludes the IRS or the courts from adopting a contrary position. Therefore, notwithstanding the Tax Opinion, the IRS could determine that the distribution or any such related transaction is taxable if it determines that any of these facts, assumptions, representations or undertakings are not correct or have been violated, or that the distribution should be taxable for other reasons, including if the IRS were to disagree with the conclusions in the Tax Opinion.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distribution or certain related transactions failed to qualify for the Intended Tax Treatment, in general, for U.S. federal income tax purposes, WDC would recognize taxable gain as if it had sold the shares of our stock in a taxable sale for their fair market value and WDC stockholders that received shares of our stock in the distribution or receive shares of our stock in a clean-up distribution would be subject to tax as if they had received a taxable distribution equal to the fair market value of such shares.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WDC and Sandisk could incur significant U.S. federal income tax obligations, whether under applicable law or under the tax matters agreement that we entered into with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to preserve the tax-free treatment to WDC and its stockholders of the distribution and certain related transactions, under the tax matters agreement that we entered into with WDC, we are restricted from taking certain actions that could adversely impact the Intended Tax Treatment of the distribution, together with certain related transactions. Failure to adhere to any such restrictions, including in certain circumstances that may be outside of our control, could result in tax being imposed on WDC for which we could bear responsibility and for which we could be obligated to indemnify WDC. In addition, even if we are not responsible for tax liabilities of WDC under the tax matters agreement, we nonetheless could potentially be liable under applicable tax law for such liabilities if WDC were to fail to pay such taxes.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terms of the tax matters agreement, furthermore, restrict us from taking certain actions, particularly for the two years following the spin-off, including (among other things) the ability to freely issue stock, to merge or agree to merge with a third party, to be acquired or agree to be acquired by certain parties and to raise additional equity capital. Such restrictions could impair our ability to implement strategic initiatives. Also, any indemnity obligation to WDC might discourage, delay or prevent a change of control that we or our stockholders may otherwise consider favorable. These restrictions may limit our ability to enter into certain strategic transactions or other transactions that we may believe to be in the best interests of our stockholders or that might increase the value of our business, which could negatively impact our stock price performance. In addition, under the tax matters agreement, we are required to indemnify WDC against certain tax liabilities as a result of the acquisition of our stock or assets, even if we did not participate in or otherwise facilitate the acquisition. For a discussion of the tax matters agreement, see the section of this annual report on Form 10-K entitled </w:t>
      </w:r>
      <w:r>
        <w:rPr>
          <w:color w:val="000000"/>
        </w:rPr>
        <w:t>“</w:t>
      </w:r>
      <w:r>
        <w:rPr>
          <w:rFonts w:ascii="Times New Roman;serif" w:hAnsi="Times New Roman;serif"/>
          <w:b w:val="false"/>
          <w:i/>
          <w:color w:val="000000"/>
          <w:sz w:val="20"/>
        </w:rPr>
        <w:t>Transactions with Western Digital Corporation—Separation and Distribution Agreement and Other Transactions with WDC.”</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may be unable to implement, on a timely or cost-effective basis, the systems, internal controls, and governance structures necessary to operate effectively as an independent company.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separation from WDC, we have established, and are continuing to develop and refine, the standalone financial, administrative, governance, public company compliance, information technology, and other organizations, systems, and processes necessary to operate as an independent, publicly traded company. Building and maturing these functions is a complex, multi-phase undertaking, and we cannot assure you that we will complete it on a timely or cost-effective basis.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changes in our personnel, systems, and processes associated with operating independently have resulted, and may continue to result, in a loss of institutional knowledge, gaps in continuity, disruptions to our operations, and inefficiencies as our standalone organizations and systems mature. If we fail to effectively implement these initiatives—including integrating our governance structures, establishing and maintaining sufficient internal controls and corporate policies, fully developing our standalone teams and capabilities, and aligning stakeholder expectations—we may experience operational disruptions, material weaknesses or other deficiencies in our internal control over financial reporting, regulatory non-compliance, weakened stakeholder relationships, reputational harm, loss of business opportunities, and an inability to realize the anticipated benefits of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in the process of implementing a new version of an enterprise resource planning (“ERP”) system. Implementing a new ERP system is costly and complex, requires significant management attention and resources, and may introduce quality, control, or cybersecurity issues into our systems, particularly during the transition. Any disruption in, or failure to successfully implement, our new ERP system or other key information systems could adversely affect our business and operations, impair our internal control over financial reporting, and harm our ability to meet our financial reporting obligations on a timely and accurate basis.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stock price may fluctuate significantly, which may make it difficult for you to resell the common stock when you want or at prices you find attractive.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significantly due to a number of factors, some of which may be beyond our control,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quarterly or annual earnings, or those of other companies in its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earnings estimates by securities analysts or our ability to meet those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meet our forward looking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operating and stock price performance of other comparable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overall market fluctuations and domestic and worldwide economic conditions, including adverse geopolitical conditions;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factors described in these “Risk Factors” and elsewhere in this annual report on Form 10-K.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 markets in general have experienced volatility that has often been unrelated to the operating performance of a particular company. Broad market and industry factors may materially harm the market price of our common stock, regardless of our operating performance. In the past, following periods of volatility in the market price of a company’s securities, shareholder derivative lawsuits and/or securities class action litigation has often been instituted against such company. Such litigation, if instituted against us, could result in substantial costs and a diversion of management’s attention and resources.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Provisions of Delaware law, our certificate of incorporation and our bylaws may prevent or delay an acquisition of our company, which could decrease the market price of our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Delaware law, our certificate of incorporation and our bylaws each contain provisions that are intended to deter coercive takeover practices and inadequate takeover bids by making such practices or bids unacceptably expensive to the bidder and to encourage prospective acquirers to negotiate with our Board rather than to attempt a hostile takeover. These provisions may also prevent or discourage attempts to remove and replace incumbent directors. These provisions include, among others: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Board has the sole power to set the number of directors and to fill any vacancies on our Board, whether such vacancy occurs as a result of an increase in the number of directors or otherwise;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 cumulative voting;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our stockholders to act by written consent, which requires all stockholder actions to be taken at a meeting of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Board has the authority to designate a series of preferred stock, determine its rights and preferences and fix the number of shares constituting any such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requirements applicable to stockholders for director nominations and actions to be taken at annual meetings;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only our Board, the Chair of the Board or our Chief Executive Officer may call special meetings of stockholders, and stockholders do not have the authority to call a special meeting of stockholders.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anti-takeover provisions could substantially impede the ability of public stockholders to benefit from a change in control or a change in our management and Board, and public stockholders who might desire to participate in these types of transactions may not have an opportunity to do so, even if the transaction is considered favorable to stockholders, which may adversely affect the market price of our common stock and the ability of stockholders to realize any potential change of control premium.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Section 203 of the DGCL, which generally prohibits a publicly held Delaware corporation from engaging in a broad range of business combinations with any stockholder who has acquired 15% or more of its outstanding voting stock for a period of three years following the date on which such stockholder became an interested stockholder, unless the business combination or the transaction in which the stockholder became an interested stockholder is approved in a prescribed manner. This provision may discourage, delay or prevent a change of control of our Company.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these provisions protect our stockholders from coercive or otherwise unfair takeover tactics by requiring potential acquirers to negotiate with our Board and by providing our Board with more time to assess any acquisition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are not intended to make us immune from takeovers. However, these provisions will apply even if any offer may be considered beneficial by some stockholders and could delay or prevent an acquisition that our Board determines is not in the best interests of us and our stockholders.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certificate of incorporation contains an exclusive forum provision that could limit a stockholder’s ability to bring a claim in a judicial forum that the stockholder believes is favorable for such disputes and may discourage lawsuits against us and any of our directors, officers or other employees.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unless we consent in writing to the selection of an alternative forum, the Court of Chancery of the State of Delaware (or, if such court does not have subject matter jurisdiction, the federal district court of the State of Delaware) is the sole and exclusive forum for (i) any derivative action brought on our behalf, (ii) any action or proceeding asserting a claim of breach of a fiduciary duty owed by any of our current or former directors, officers or other employees to us or our stockholders, (iii) any action asserting a claim arising pursuant to any provision of the DGCL or our certificate of incorporation or bylaws or (iv) any action asserting a claim governed by the internal affairs doctrine (the “Delaware Exclusive Forum Provision”). Our certificate of incorporation further provides that the federal district courts of the United States shall be the exclusive forum for resolving any complaint asserting a cause of action arising under the Securities Act (the “Federal Forum Provision”). These exclusive forum provisions do not apply to suits brought to enforce any duty or liability created by the Exchange Act or any other claim for which the federal courts have exclusive jurisdiction. The exclusive forum provisions in our certificate of incorporation will not relieve us of our duties to comply with the federal securities laws and the rules and regulations thereunder, and our stockholders are not deemed to have waived our compliance with these laws, rules and regulations.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exclusive forum provisions may limit a stockholder’s ability to bring a claim in a judicial forum of its choosing for disputes with the Company or its directors, officers or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us than to our stockholders. Further, if a court were to find all or any part of our exclusive forum provisions to be inapplicable or unenforceable in an action, we might incur additional costs associated with resolving such action in other jurisdictions.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Tax matters may materially affect our financial position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tax laws in the United States, the European Union and around the globe have impacted and will continue to impact our effective worldwide tax rate, which may materially affect our financial position and results of operations. Further, the majority of countries in the G20 and Organization for Economic Cooperation and Development Inclusive Framework on Base Erosion and Profit Shifting have agreed to adopt a two-pillar approach to taxation, which includes the implementation of a global corporate minimum tax rate of 15%, which has become effective in certain jurisdictions and materially increase our tax obligations in these countries. On January 5, 2026, the OECD/G20 inclusive framework released a “Side-by-Side” Safe Harbor which exempted U.S. parented companies from the Undertaxed Profit Rule (UTPR) and the Income Inclusion Rule (IIR); however, the Qualified Domestic Minimum Top-Up Taxes (QDMTT) still remain in effect. Additionally, we expect to be subject to Corporate Alternative Minimum Tax (“CAMT”) next year. CAMT, which was enacted under the Inflation Reduction Act of 2022, imposes a 15% minimum tax on the adjusted financial statement income. Due to the large scale of our U.S. and international business activities, many of these enacted and proposed changes to the taxation of our activities, including cash movements, could increase our worldwide effective tax rate and harm our business. Depending on our operating results, these changes can materially impact our effective tax rate and our operating cash flows. Additionally, portions of our operations are subject to a reduced tax rate or are free of tax under tax holidays that expire in whole or in part from time to time, or may be terminated if certain conditions are not met. Although these holidays may be extended when certain conditions are met, we may not be able to meet such conditions. If the tax holidays are not extended, or if we fail to satisfy the conditions of the reduced tax rate, then our effective tax rate could increase in the future. Our determination of our tax liability in the U.S. and other jurisdictions is subject to review by applicable domestic and foreign tax authorities.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of our current estimate of unrecognized tax benefits and may harm our business.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Provisions in our joint venture agreements with Kioxia may deter, prevent or delay an acquisition of us, which could decrease the market price of our common stock and limit our future strategic opportunities.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joint venture agreements with Kioxia contain provisions that may deter, prevent or delay third parties from acquiring us. These provisions include,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limiting our ability and the ability of any of our affiliates to manufacture or have a third party fabricate flash memory outside of Flash Ventures’ Yokkaichi and Kitakami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limiting our ability and the ability of any of our affiliates to fabricate flash memory beyond our share of Flash Ventures’ manufacturing capacity;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restrictions limiting our ability to transfer equity in the Flash Ventures entities or their assets, particularly partial transfers.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nevertheless wanted to pursue a transaction providing for our acquisition by a third party, the provisions in our joint venture agreements with Kioxia could deter, prevent or delay a potential acquiror from pursuing such a transaction, even if the transaction is considered favorable to our stockholders.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seek a waiver of applicable provisions of the joint venture agreements from Kioxia or Kioxia’s consent with respect to such a transaction, but there is no guarantee that we will successfully obtain Kioxia’s consent or waiver.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provisions in our joint venture agreements with Kioxia could substantially impede the ability of public stockholders to benefit from future strategic transactions, including an acquisition of Sandisk and, as a result, may adversely affect the market price of our common stock and your ability to realize any potential change of control premium.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1B.    </w:t>
      </w:r>
      <w:r>
        <w:rPr>
          <w:rFonts w:ascii="Times New Roman;serif" w:hAnsi="Times New Roman;serif"/>
          <w:b/>
          <w:i/>
          <w:color w:val="000000"/>
          <w:sz w:val="20"/>
        </w:rPr>
        <w:t>Unresolved Staff Comments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1C.    </w:t>
      </w:r>
      <w:r>
        <w:rPr>
          <w:rFonts w:ascii="Times New Roman;serif" w:hAnsi="Times New Roman;serif"/>
          <w:b/>
          <w:i/>
          <w:color w:val="000000"/>
          <w:sz w:val="20"/>
        </w:rPr>
        <w:t xml:space="preserve">Cybersecurity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Sandisk, our management team is charged with managing risk and bringing to our Board of Directors’ attention all material risk exposures to our company. Our enterprise risk management (“ERM”) process is designed to facilitate the identification, assessment, management, reporting and monitoring of material risks our company may face over the short-term and long-term and promote regular communication with our Board of Directors and its committees regarding these risks. Through our ERM process, we have determined that the compromise, damage or interruption of our technology infrastructure, information systems or products by cybersecurity incidents is a key risk to our company that may have a material negative impact on our business. To help mitigate the potential impact of cybersecurity incidents on our business and protect against cybersecurity threats, we have established organizational structures, procedural measures and response plans that define roles and responsibilities related to cybersecurity risk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Sandisk’s Information Security organization addresses cybersecurity risks with a broad spectrum of technologies, controls, and processes that focus on mitigating these risks. Our cybersecurity strategy is designed to be dynamic and adaptive to combat the rapidly-evolving cybersecurity threat landscape and is influenced by commonly leveraged frameworks such as the NIST-CSF (National Institute of Standards and Technology – Cybersecurity Framework). Our program includes, but is not limited to, endpoint protection and response systems, network security protocols, electronic communications protections, vulnerability management programs, least-privilege access controls, third-party risk management procedures, workforce education and training exercises, and compliance programs.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dedicated 24x7 Security Operations Center incorporates specialized systems and processes for handling cybersecurity incidents into its regular work and operates a robust, modern security infrastructure with appropriate security sensors and event monitoring capabilities. Upon detection of a cybersecurity incident, the Security Operations Center determines the severity of the incident in accordance with a pre-established incident severity matrix, initiates the appropriate notification and escalation protocols and begins triage. Predefined severity tiers serve as a guide to match our response to each incident’s determined severity or risk level.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have established a Cybersecurity Incident Response Plan that follows the structure of the Incident Handling Guide published by the U.S. National Institute of Standards and Technology (SP 800-61r3) and that serves as an operational guide for handling cybersecurity incidents at Sandisk. Our Cybersecurity Incident Response Plan provides procedural and strategic guidance that is designed to be flexible enough to apply to a variety of different incidents, but also specific enough to provide guidelines for incident prevention, detection, analysis, escalation and notification, and containment, eradication and recovery.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our ongoing information security program, the Company periodically utilizes independent third-party experts to conduct assessments of our program’s effectiveness. These experts are also leveraged to design and orchestrate tabletop exercises where multiple business functions and leadership levels navigate incident scenarios based on industry trends and relevant threats, to help determine our level of preparedness for various cybersecurity incidents.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operations, the Company engages with a number of third parties, including but not limited to, online software service providers, vendors, consultants, and partners. These third parties are analyzed based on business criticality and impact and must be cleared through a formal cybersecurity risk assessment process before being allowed to integrate with Sandisk’s information systems, access confidential data, or provide electronic services to members of our workforce. </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Company has in the past experienced cybersecurity incidents of varying degrees involving our technology infrastructure and information systems. While these incidents have at times resulted in some disruptions to our business operations, as of the date of this Annual Report on Form 10-K, we do not believe that known risks from cybersecurity threats, including as a result of any previous cybersecurity incident, have materially affected or are reasonably likely to materially affect us, including our business strategy, results of operations or financial condition. However, we can give no assurance that we have detected or protected against all such cybersecurity incidents or threats or that we will not experience such an incident in the future. Further details about the cybersecurity risks we face are described under “The compromise, damage or interruption of our technology infrastructure, systems or products by cybersecurity incidents, data security breaches, other security problems, design defects or system failures could have a material negative impact on our business” in</w:t>
      </w:r>
      <w:r>
        <w:rPr>
          <w:color w:val="000000"/>
          <w:shd w:fill="FFFFFF" w:val="clear"/>
        </w:rPr>
        <w:t xml:space="preserve"> </w:t>
      </w:r>
      <w:r>
        <w:rPr>
          <w:rFonts w:ascii="Times New Roman;serif" w:hAnsi="Times New Roman;serif"/>
          <w:b w:val="false"/>
          <w:color w:val="000000"/>
          <w:sz w:val="20"/>
          <w:shd w:fill="FFFFFF" w:val="clear"/>
        </w:rPr>
        <w:t xml:space="preserve">Part I, Item 1A.,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Governance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a governance framework related to cybersecurity that includes operational risk-mitigation practices and Board-level cybersecurity risk oversight.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team is charged with managing cybersecurity risk and identifying material cybersecurity risk exposures to our company and carries out this function primarily through our Information Security organization, which is led by our Chief Information Security Officer (“CISO”) who has over 25 years of experience managing global information technology and cybersecurity operations, having served in executive roles up to Chief Information Officer, and holding multiple industry-recognized certifications such as Certified Information Systems Security Professional and Certificate of Cloud Security Knowledge, as well as a certificate from the Stanford Advanced Cybersecurity Program. Our CISO reports to our Chief Information Officer, who has more than 25 years of experience in information technology. Additionally, our Cybersecurity Incident Response Plan discussed above calls for the establishment of an Impact Assessment Committee, which consists of members of executive leadership and is convened on an ad hoc basis to assess the detailed business impact of a cybersecurity incident. The Impact Assessment Committee is led by our Chief Information Security Officer and includes members of the executive leadership team. During a cybersecurity incident, the Impact Assessment Committee receives incident updates to support strategic decision-making regarding the Company’s response, with a focus on prioritizing safe, secure, and efficient business continuity or restoration of services, as appropriate. The Impact Assessment Committee works with the Company’s internal and external legal counsel to determine and facilitate appropriate communications with the Board of Directors.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is responsible for overseeing the cybersecurity risk management process and exercises this risk oversight through both our full Board of Directors and its Audit Committee. Our Board of Directors has delegated to the Audit Committee the responsibility to oversee risks related to cybersecurity threats, and our Audit Committee Charter requires the Audit Committee to review and discuss with management the Company’s policies with respect to risk assessment and enterprise risk management and to review the risk exposure of the Company related to the Committee’s areas of responsibility, including with respect to cybersecurity. In carrying out this role, the Audit Committee meets with our Chief Information Security Officer regularly and receives at least quarterly reports on cybersecurity matters.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at least annually, our Chief Audit Executive, who manages the day-to-day activities of our ERM program, reports to our Board of Directors on enterprise risk assessment under our ERM program, providing updates on key risks, status of mitigation efforts and residual risk trends, including an analysis of cybersecurity risks. Also at least annually, our Chief Information Security Officer reports to the full Board of Directors on cybersecurity matters related to or impacting our company 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2.    </w:t>
      </w:r>
      <w:r>
        <w:rPr>
          <w:rFonts w:ascii="Times New Roman;serif" w:hAnsi="Times New Roman;serif"/>
          <w:b/>
          <w:i/>
          <w:color w:val="000000"/>
          <w:sz w:val="20"/>
        </w:rPr>
        <w:t>Properties</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currently located at 951 Sandisk Drive, Milpitas, California 95035. Our principal manufacturing, research and development (“R&amp;D”), marketing and administrative facilities as of the date of this Annual Report on Form 10-K were as follows:</w:t>
      </w:r>
    </w:p>
    <w:tbl>
      <w:tblPr>
        <w:tblW w:w="10205" w:type="dxa"/>
        <w:jc w:val="left"/>
        <w:tblInd w:w="0" w:type="dxa"/>
        <w:tblLayout w:type="fixed"/>
        <w:tblCellMar>
          <w:top w:w="28" w:type="dxa"/>
          <w:left w:w="28" w:type="dxa"/>
          <w:bottom w:w="28" w:type="dxa"/>
          <w:right w:w="28" w:type="dxa"/>
        </w:tblCellMar>
      </w:tblPr>
      <w:tblGrid>
        <w:gridCol w:w="436"/>
        <w:gridCol w:w="362"/>
        <w:gridCol w:w="363"/>
        <w:gridCol w:w="109"/>
        <w:gridCol w:w="109"/>
        <w:gridCol w:w="109"/>
        <w:gridCol w:w="692"/>
        <w:gridCol w:w="692"/>
        <w:gridCol w:w="695"/>
        <w:gridCol w:w="109"/>
        <w:gridCol w:w="109"/>
        <w:gridCol w:w="109"/>
        <w:gridCol w:w="799"/>
        <w:gridCol w:w="763"/>
        <w:gridCol w:w="765"/>
        <w:gridCol w:w="109"/>
        <w:gridCol w:w="109"/>
        <w:gridCol w:w="109"/>
        <w:gridCol w:w="1064"/>
        <w:gridCol w:w="1064"/>
        <w:gridCol w:w="1529"/>
      </w:tblGrid>
      <w:tr>
        <w:trPr/>
        <w:tc>
          <w:tcPr>
            <w:tcW w:w="4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Buildings Owned or 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Milpitas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Longmont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product development</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Seoul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Beijing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assembly and testing</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Taiwan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Hsinchu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Taichung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Taipei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Fujisawa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Sales</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Malaysia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manufacturing of media</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Bangalore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Kfar Saba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Tefen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Prague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lease office space in various other locations throughout the world primarily for R&amp;D, sales, operations, manufacturing, administration and technical support. We believe our present facilities are adequate for our current needs, although we update our facilities from time to time to meet anticipated future technological and market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of our flash-based memory wafers are manufactured by the Flash Ventures in purpose-built wafer fabrication facilities that the Flash Ventures lease, located in Yokkaichi and Kitakami,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3.    </w:t>
      </w:r>
      <w:r>
        <w:rPr>
          <w:rFonts w:ascii="Times New Roman;serif" w:hAnsi="Times New Roman;serif"/>
          <w:b/>
          <w:i/>
          <w:color w:val="000000"/>
          <w:sz w:val="20"/>
        </w:rPr>
        <w:t>Legal Proceedings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no material legal proceedings, other than ordinary routine litigation incidental to the Company, to which we or any of our subsidiaries is a party or of which any of our or our subsidiaries’ property is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5.    </w:t>
      </w:r>
      <w:r>
        <w:rPr>
          <w:rFonts w:ascii="Times New Roman;serif" w:hAnsi="Times New Roman;serif"/>
          <w:b/>
          <w:i/>
          <w:color w:val="000000"/>
          <w:sz w:val="20"/>
        </w:rPr>
        <w:t>Market for Registrant’s Common Equity, Related Stockholder Matters and Issuer Purchases of Equity Securities</w:t>
      </w:r>
      <w:r>
        <w:rPr>
          <w:color w:val="000000"/>
        </w:rPr>
        <w:t xml:space="preserve">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(“Nasdaq”) under the symbol “SNDK”. The approximate number of holders of record of our common stock as of August 7, 2026 was 647.</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in the foreseeable future.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repurchases of common stock during the quarter ended July 3, 2026:</w:t>
      </w:r>
    </w:p>
    <w:tbl>
      <w:tblPr>
        <w:tblW w:w="10205" w:type="dxa"/>
        <w:jc w:val="left"/>
        <w:tblInd w:w="0" w:type="dxa"/>
        <w:tblLayout w:type="fixed"/>
        <w:tblCellMar>
          <w:top w:w="28" w:type="dxa"/>
          <w:left w:w="28" w:type="dxa"/>
          <w:bottom w:w="28" w:type="dxa"/>
          <w:right w:w="28" w:type="dxa"/>
        </w:tblCellMar>
      </w:tblPr>
      <w:tblGrid>
        <w:gridCol w:w="445"/>
        <w:gridCol w:w="353"/>
        <w:gridCol w:w="355"/>
        <w:gridCol w:w="666"/>
        <w:gridCol w:w="475"/>
        <w:gridCol w:w="476"/>
        <w:gridCol w:w="109"/>
        <w:gridCol w:w="109"/>
        <w:gridCol w:w="109"/>
        <w:gridCol w:w="263"/>
        <w:gridCol w:w="1052"/>
        <w:gridCol w:w="146"/>
        <w:gridCol w:w="109"/>
        <w:gridCol w:w="109"/>
        <w:gridCol w:w="109"/>
        <w:gridCol w:w="940"/>
        <w:gridCol w:w="793"/>
        <w:gridCol w:w="796"/>
        <w:gridCol w:w="109"/>
        <w:gridCol w:w="109"/>
        <w:gridCol w:w="109"/>
        <w:gridCol w:w="425"/>
        <w:gridCol w:w="1695"/>
        <w:gridCol w:w="344"/>
      </w:tblGrid>
      <w:tr>
        <w:trPr/>
        <w:tc>
          <w:tcPr>
            <w:tcW w:w="4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Program</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Maximum Value of Shares that May Yet be Purchased Under the Program</w:t>
            </w:r>
            <w:r>
              <w:rPr>
                <w:rFonts w:ascii="Times New Roman;serif" w:hAnsi="Times New Roman;serif"/>
                <w:b w:val="false"/>
                <w:color w:val="000000"/>
                <w:sz w:val="13"/>
              </w:rPr>
              <w:t>(2)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(millions)</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 4, 2026 - May 1, 2026</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 2026 - May 29, 2026</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1,717,407 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1,717,407 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3,569.19 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30, 2026 - Jul. 3, 2026</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1,118,868 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1,118,868 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for quarter ended Jul. 3, 2026</w:t>
            </w:r>
          </w:p>
        </w:tc>
        <w:tc>
          <w:tcPr>
            <w:tcW w:w="114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2,836,275 </w:t>
            </w:r>
          </w:p>
        </w:tc>
        <w:tc>
          <w:tcPr>
            <w:tcW w:w="4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1,600.00 </w:t>
            </w:r>
          </w:p>
        </w:tc>
        <w:tc>
          <w:tcPr>
            <w:tcW w:w="1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2,836,275 </w:t>
            </w:r>
          </w:p>
        </w:tc>
        <w:tc>
          <w:tcPr>
            <w:tcW w:w="7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commissions.</w:t>
        <w:br/>
      </w:r>
      <w:r>
        <w:rPr>
          <w:rFonts w:ascii="Times New Roman;serif" w:hAnsi="Times New Roman;serif"/>
          <w:b w:val="false"/>
          <w:color w:val="000000"/>
          <w:sz w:val="12"/>
        </w:rPr>
        <w:t xml:space="preserve">(2) </w:t>
      </w:r>
      <w:r>
        <w:rPr>
          <w:rFonts w:ascii="Times New Roman;serif" w:hAnsi="Times New Roman;serif"/>
          <w:b w:val="false"/>
          <w:color w:val="000000"/>
          <w:sz w:val="18"/>
        </w:rPr>
        <w:t>On April 30, 2026, we announced that our Board of Directors approved a share repurchase program for the repurchase of up to $6.0 billion of our common stock and on August 5, 2026, we announced that our Board of Directors approved an additional share repurchase program for the repurchase of up to $14.0 billion of our common stock (each, a “share repurchase program”). There is no expiration date for the share repurchase program. Repurchases under the share repurchase program may be made in the open market or in privately negotiated transactions and may be made under a Rule 10b5-1 plan. We expect share repurchases to be funded by operating cash flows. The amount and timing of share repurchases will depend on market conditions and other relevant factors. The Company may suspend or discontinue the share repurchase program at any time.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Restricted Stock Unit Share Withholding</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We withhold shares of our common stock associated with net share settlements to cover tax withholding obligations of restricted stock unit awards under our employee equity incentive program. During fiscal year 2026, we withheld approximately 1.0 million shares for a total value of $0.6 billion through net share settlements. Refer to Part II, Item 8, Note 12, </w:t>
      </w:r>
      <w:r>
        <w:rPr>
          <w:rFonts w:ascii="Times New Roman;serif" w:hAnsi="Times New Roman;serif"/>
          <w:b w:val="false"/>
          <w:i/>
          <w:color w:val="000000"/>
          <w:sz w:val="20"/>
        </w:rPr>
        <w:t>Shareholders’ Equity</w:t>
      </w:r>
      <w:r>
        <w:rPr>
          <w:color w:val="000000"/>
        </w:rPr>
        <w:t xml:space="preserve"> </w:t>
      </w:r>
      <w:r>
        <w:rPr>
          <w:rFonts w:ascii="Times New Roman;serif" w:hAnsi="Times New Roman;serif"/>
          <w:b w:val="false"/>
          <w:color w:val="000000"/>
          <w:sz w:val="20"/>
        </w:rPr>
        <w:t>of the Notes to Consolidated Financial Statements included in this Annual Report on Form 10-K for further discussion regarding our equity incentive plans.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of our common stock with the cumulative total return of the S&amp;P 500 Index and the PHLX Semiconductor Sector (“SOX”) Index for the year ended July 3, 2026. The graph assumes that $100 was invested in our common stock, and the comparative indices, on February 12, 2025 (the date that the Company’s stock began trading on a “when-issued” basis), and that all dividends were reinvested. Stockholder returns over the indicated period should not be considered indicative of future stockholder returns.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 S&amp;P 500 Index and the PHLX Semiconductor Sector Index are appropriate indices to compare our performance with other companies in our industry. These indices are widely recognized and used, for which components and total return information are readily accessible to our security holders, to assist in their understanding of our performance relative to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COMPARISON OF CUMULATIVE TOTAL RETURN TO STOCKHOLDERS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Among Sandisk, the S&amp;P 500 Index and the PHLX Semiconductor Sector (SOX) Index</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(Assumes $100 investment on February 12, 2025)</w:t>
      </w:r>
    </w:p>
    <w:p>
      <w:pPr>
        <w:pStyle w:val="TextBody"/>
        <w:bidi w:val="0"/>
        <w:spacing w:before="0" w:after="120"/>
        <w:jc w:val="center"/>
        <w:rPr/>
      </w:pPr>
      <w:r>
        <w:rPr/>
        <w:drawing>
          <wp:inline distT="0" distB="0" distL="0" distR="0">
            <wp:extent cx="5667375" cy="292417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5667375" cy="2924175"/>
                    </a:xfrm>
                    <a:prstGeom prst="rect">
                      <a:avLst/>
                    </a:prstGeom>
                  </pic:spPr>
                </pic:pic>
              </a:graphicData>
            </a:graphic>
          </wp:inline>
        </w:drawing>
      </w:r>
      <w:bookmarkStart w:id="0" w:name="i-1"/>
      <w:bookmarkEnd w:id="0"/>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Total Return Analysis</w:t>
      </w:r>
    </w:p>
    <w:tbl>
      <w:tblPr>
        <w:tblW w:w="7641" w:type="dxa"/>
        <w:jc w:val="left"/>
        <w:tblInd w:w="0" w:type="dxa"/>
        <w:tblLayout w:type="fixed"/>
        <w:tblCellMar>
          <w:top w:w="28" w:type="dxa"/>
          <w:left w:w="28" w:type="dxa"/>
          <w:bottom w:w="28" w:type="dxa"/>
          <w:right w:w="28" w:type="dxa"/>
        </w:tblCellMar>
      </w:tblPr>
      <w:tblGrid>
        <w:gridCol w:w="1265"/>
        <w:gridCol w:w="1113"/>
        <w:gridCol w:w="1117"/>
        <w:gridCol w:w="246"/>
        <w:gridCol w:w="842"/>
        <w:gridCol w:w="127"/>
        <w:gridCol w:w="109"/>
        <w:gridCol w:w="109"/>
        <w:gridCol w:w="109"/>
        <w:gridCol w:w="211"/>
        <w:gridCol w:w="721"/>
        <w:gridCol w:w="109"/>
        <w:gridCol w:w="109"/>
        <w:gridCol w:w="109"/>
        <w:gridCol w:w="109"/>
        <w:gridCol w:w="211"/>
        <w:gridCol w:w="87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12,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Sandisk Corporation</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PHLX Semiconductor Sector (SOX) Index</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color w:val="000000"/>
          <w:sz w:val="20"/>
        </w:rPr>
      </w:pPr>
      <w:r>
        <w:rPr>
          <w:rFonts w:ascii="Times New Roman;serif" w:hAnsi="Times New Roman;serif"/>
          <w:b/>
          <w:color w:val="000000"/>
          <w:sz w:val="20"/>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7.    </w:t>
      </w:r>
      <w:r>
        <w:rPr>
          <w:rFonts w:ascii="Times New Roman;serif" w:hAnsi="Times New Roman;serif"/>
          <w:b/>
          <w:i/>
          <w:color w:val="000000"/>
          <w:sz w:val="20"/>
        </w:rPr>
        <w:t>Management’s Discussion and Analysis of Financial Condition and Results of Operations</w:t>
      </w:r>
      <w:r>
        <w:rPr>
          <w:color w:val="000000"/>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See also “Forward-Looking Statements” immediately prior to Part I, Item 1., of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For management’s discussion of our consolidated results for the year ended June 27, 2025 in comparison with the combined results for the year ended June 28, 2024, and other financial information related to fiscal year 2025, refer to Part II, Item 7., </w:t>
      </w:r>
      <w:r>
        <w:rPr>
          <w:color w:val="000000"/>
        </w:rPr>
        <w:t>“</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 xml:space="preserve">included in our 2025 Annual Report on Form 10-K, filed with the U.S. Securities and Exchange Commission (“SEC”) on August 21, 2025.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otherwise indicated or the context requires, references herein to specific years and quarters are to our fiscal years and fiscal quarters. As used herein, the terms “we,” “us,” “our,” and the “Company” refer to Sandisk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Sandisk is a leading </w:t>
      </w:r>
      <w:r>
        <w:rPr>
          <w:rFonts w:ascii="Times New Roman;serif" w:hAnsi="Times New Roman;serif"/>
          <w:b w:val="false"/>
          <w:color w:val="000000"/>
          <w:sz w:val="20"/>
        </w:rPr>
        <w:t>global semiconductor memory company with more than 30 years</w:t>
      </w:r>
      <w:r>
        <w:rPr>
          <w:color w:val="000000"/>
          <w:shd w:fill="FFFFFF" w:val="clear"/>
        </w:rPr>
        <w:t xml:space="preserve"> </w:t>
      </w:r>
      <w:r>
        <w:rPr>
          <w:rFonts w:ascii="Times New Roman;serif" w:hAnsi="Times New Roman;serif"/>
          <w:b w:val="false"/>
          <w:color w:val="000000"/>
          <w:sz w:val="20"/>
          <w:shd w:fill="FFFFFF" w:val="clear"/>
        </w:rPr>
        <w:t xml:space="preserve">of innovation in NAND flash technology. </w:t>
      </w:r>
      <w:r>
        <w:rPr>
          <w:rFonts w:ascii="Times New Roman;serif" w:hAnsi="Times New Roman;serif"/>
          <w:b w:val="false"/>
          <w:color w:val="000000"/>
          <w:sz w:val="20"/>
        </w:rPr>
        <w:t xml:space="preserve">We are a vertically integrated solutions provider with ownership of chip-level design and IP, front and back-end manufacturing, as well as systems engineering and design. </w:t>
      </w:r>
      <w:r>
        <w:rPr>
          <w:rFonts w:ascii="Times New Roman;serif" w:hAnsi="Times New Roman;serif"/>
          <w:b w:val="false"/>
          <w:color w:val="000000"/>
          <w:sz w:val="20"/>
          <w:shd w:fill="FFFFFF" w:val="clear"/>
        </w:rPr>
        <w:t xml:space="preserve">With a differentiated innovation engine driving advancements in storage and semiconductor technologies, our broad and ever-expanding portfolio delivers powerful flash storage solutions for artificial intelligence (“AI”) workloads in datacenters, edge devices, and consumer applications. Our technologies enable everyone from students, gamers, and home offices to the largest enterprises and public clouds to </w:t>
      </w:r>
      <w:r>
        <w:rPr>
          <w:rFonts w:ascii="Times New Roman;serif" w:hAnsi="Times New Roman;serif"/>
          <w:b w:val="false"/>
          <w:color w:val="000000"/>
          <w:sz w:val="20"/>
        </w:rPr>
        <w:t>produce, analyze, and store</w:t>
      </w:r>
      <w:r>
        <w:rPr>
          <w:color w:val="000000"/>
          <w:shd w:fill="FFFFFF" w:val="clear"/>
        </w:rPr>
        <w:t xml:space="preserve"> </w:t>
      </w:r>
      <w:r>
        <w:rPr>
          <w:rFonts w:ascii="Times New Roman;serif" w:hAnsi="Times New Roman;serif"/>
          <w:b w:val="false"/>
          <w:color w:val="000000"/>
          <w:sz w:val="20"/>
          <w:shd w:fill="FFFFFF" w:val="clear"/>
        </w:rPr>
        <w:t xml:space="preserve">data. Our solutions include a broad range of solid-state drives (“SSDs”), embedded products, removable cards, universal serial bus drives and wafers and components. Our broad portfolio of technology and products addresses multiple end markets of </w:t>
      </w:r>
      <w:r>
        <w:rPr>
          <w:color w:val="000000"/>
        </w:rPr>
        <w:t>“</w:t>
      </w:r>
      <w:r>
        <w:rPr>
          <w:rFonts w:ascii="Times New Roman;serif" w:hAnsi="Times New Roman;serif"/>
          <w:b w:val="false"/>
          <w:color w:val="000000"/>
          <w:sz w:val="20"/>
        </w:rPr>
        <w:t>Datacenter” (formerly referred to as “Cloud”), “Edge” (formerly referred to as “Client”), and “Consumer.”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Datacenter end market is comprised primarily of products for datacenters, cloud service providers, and private cloud customers. Through the Edge end market, we provide our original equipment manufacturer (“OEM”) and channel customers a broad array of high-performance flash solutions across personal computer, mobile, gaming, automotive, physical AI, at-home entertainment, and industrial spaces. The Consumer end market is highlighted by our broad range of retail and other end-user products, which capitalize on the strength of our product brand recognition and vast presence around the world.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Company’s fiscal year ends on the Friday nearest to June 30 and typically consists of </w:t>
      </w:r>
      <w:r>
        <w:rPr>
          <w:rFonts w:ascii="Times New Roman;serif" w:hAnsi="Times New Roman;serif"/>
          <w:b w:val="false"/>
          <w:color w:val="000000"/>
          <w:sz w:val="20"/>
        </w:rPr>
        <w:t>52</w:t>
      </w:r>
      <w:r>
        <w:rPr>
          <w:color w:val="000000"/>
          <w:shd w:fill="FFFFFF" w:val="clear"/>
        </w:rPr>
        <w:t xml:space="preserve"> </w:t>
      </w:r>
      <w:r>
        <w:rPr>
          <w:rFonts w:ascii="Times New Roman;serif" w:hAnsi="Times New Roman;serif"/>
          <w:b w:val="false"/>
          <w:color w:val="000000"/>
          <w:sz w:val="20"/>
          <w:shd w:fill="FFFFFF" w:val="clear"/>
        </w:rPr>
        <w:t xml:space="preserve">weeks. Approximately every five to six years, we report a 53-week fiscal year to align the fiscal year with the foregoing policy. Fiscal years </w:t>
      </w:r>
      <w:r>
        <w:rPr>
          <w:rFonts w:ascii="Times New Roman;serif" w:hAnsi="Times New Roman;serif"/>
          <w:b w:val="false"/>
          <w:color w:val="000000"/>
          <w:sz w:val="20"/>
        </w:rPr>
        <w:t xml:space="preserve">2025 and 2024, </w:t>
      </w:r>
      <w:r>
        <w:rPr>
          <w:rFonts w:ascii="Times New Roman;serif" w:hAnsi="Times New Roman;serif"/>
          <w:b w:val="false"/>
          <w:color w:val="000000"/>
          <w:sz w:val="20"/>
          <w:shd w:fill="FFFFFF" w:val="clear"/>
        </w:rPr>
        <w:t xml:space="preserve">which ended on </w:t>
      </w:r>
      <w:r>
        <w:rPr>
          <w:rFonts w:ascii="Times New Roman;serif" w:hAnsi="Times New Roman;serif"/>
          <w:b w:val="false"/>
          <w:color w:val="000000"/>
          <w:sz w:val="20"/>
        </w:rPr>
        <w:t>June 27,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28, 2024,</w:t>
      </w:r>
      <w:r>
        <w:rPr>
          <w:color w:val="000000"/>
          <w:shd w:fill="FFFFFF" w:val="clear"/>
        </w:rPr>
        <w:t xml:space="preserve"> </w:t>
      </w:r>
      <w:r>
        <w:rPr>
          <w:rFonts w:ascii="Times New Roman;serif" w:hAnsi="Times New Roman;serif"/>
          <w:b w:val="false"/>
          <w:color w:val="000000"/>
          <w:sz w:val="20"/>
          <w:shd w:fill="FFFFFF" w:val="clear"/>
        </w:rPr>
        <w:t xml:space="preserve">respectively, were each comprised of </w:t>
      </w:r>
      <w:r>
        <w:rPr>
          <w:rFonts w:ascii="Times New Roman;serif" w:hAnsi="Times New Roman;serif"/>
          <w:b w:val="false"/>
          <w:color w:val="000000"/>
          <w:sz w:val="20"/>
        </w:rPr>
        <w:t>52</w:t>
      </w:r>
      <w:r>
        <w:rPr>
          <w:color w:val="000000"/>
          <w:shd w:fill="FFFFFF" w:val="clear"/>
        </w:rPr>
        <w:t xml:space="preserve"> </w:t>
      </w:r>
      <w:r>
        <w:rPr>
          <w:rFonts w:ascii="Times New Roman;serif" w:hAnsi="Times New Roman;serif"/>
          <w:b w:val="false"/>
          <w:color w:val="000000"/>
          <w:sz w:val="20"/>
          <w:shd w:fill="FFFFFF" w:val="clear"/>
        </w:rPr>
        <w:t xml:space="preserve">weeks, with each fiscal quarter consisting of </w:t>
      </w:r>
      <w:r>
        <w:rPr>
          <w:rFonts w:ascii="Times New Roman;serif" w:hAnsi="Times New Roman;serif"/>
          <w:b w:val="false"/>
          <w:color w:val="000000"/>
          <w:sz w:val="20"/>
        </w:rPr>
        <w:t>13</w:t>
      </w:r>
      <w:r>
        <w:rPr>
          <w:color w:val="000000"/>
          <w:shd w:fill="FFFFFF" w:val="clear"/>
        </w:rPr>
        <w:t xml:space="preserve"> </w:t>
      </w:r>
      <w:r>
        <w:rPr>
          <w:rFonts w:ascii="Times New Roman;serif" w:hAnsi="Times New Roman;serif"/>
          <w:b w:val="false"/>
          <w:color w:val="000000"/>
          <w:sz w:val="20"/>
          <w:shd w:fill="FFFFFF" w:val="clear"/>
        </w:rPr>
        <w:t xml:space="preserve">weeks. </w:t>
      </w:r>
      <w:r>
        <w:rPr>
          <w:rFonts w:ascii="Times New Roman;serif" w:hAnsi="Times New Roman;serif"/>
          <w:b w:val="false"/>
          <w:color w:val="000000"/>
          <w:sz w:val="20"/>
        </w:rPr>
        <w:t xml:space="preserve">Fiscal year 2026 was comprised of 53 weeks and ended on July 3, 2026, with the first fiscal quarter consisting of 14 weeks. </w:t>
      </w:r>
      <w:r>
        <w:rPr>
          <w:rFonts w:ascii="Times New Roman;serif" w:hAnsi="Times New Roman;serif"/>
          <w:b w:val="false"/>
          <w:color w:val="000000"/>
          <w:sz w:val="20"/>
          <w:shd w:fill="FFFFFF" w:val="clear"/>
        </w:rPr>
        <w:t>Unless otherwise indicated or the context requires, references herein to specific years and quarters are to fiscal years and fiscal quarters, and references to financial information are on a consolidated basis.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Separation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2023, Western Digital Corporation (“WDC”) announced that its board of directors (the “WDC Board of Directors”) authorized WDC management to pursue a plan to separate the Company into an independent public company (the “separation” or “the spin-off”). The separation received final approval by the WDC Board of Directors and was completed on February 21, 2025. Prior to February 21, 2025, we were wholly owned by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WDC executed the spin-off of the Company through WDC’s pro rata distribution of 116,035,464, or 80.1%, of the Company’s outstanding shares of common stock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28,827,787, or 19.9%, of the outstanding shares of the Company’s common stock. Following the distribution, the Company became an independent publicly listed company, and on February 24, 2025, the Company began trading as an independent publicly traded company under the stock symbol “SNDK” on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9, 2025, WDC disposed of 21,314,768, or 14.6%, of our common stock through an exchange of our common stock for WDC debt held by WDC creditors, which shares were sold by affiliates of the WDC creditors in a registered public offering by the Company. On February 18, 2026, WDC disposed of an additional 5,821,135 outstanding shares of the Company through an exchange of Sandisk’s common stock for WDC debt held by WDC creditors, which shares were sold by affiliates of the WDC creditors in a registered public offering by us. All expenses for these offerings were paid for by us. Following this transaction, WDC continued to retain 1,691,884 of the outstanding shares of the Company’s common stock and, as of March 19, 2026, the sale of such shares was no longer subject to restriction, and we were no longer required to pay any expenses associated with WDC’s eventual exchange or distribution of our shares. Subsequent to this date, WDC has disposed of additional outstanding shares of our common stock in exchange for shares of its outstanding common stock and has announced that it expects to monetize all remaining shares of Sandisk common stock held by it by the end of 2026 in one or more subsequent exchanges for its outstanding common stock.</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Impairment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discussed in Part II, </w:t>
      </w:r>
      <w:r>
        <w:rPr>
          <w:rFonts w:ascii="Times New Roman;serif" w:hAnsi="Times New Roman;serif"/>
          <w:b w:val="false"/>
          <w:color w:val="000000"/>
          <w:sz w:val="20"/>
        </w:rPr>
        <w:t>Item 8.</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Note 5, </w:t>
      </w:r>
      <w:r>
        <w:rPr>
          <w:rFonts w:ascii="Times New Roman;serif" w:hAnsi="Times New Roman;serif"/>
          <w:b w:val="false"/>
          <w:i/>
          <w:color w:val="000000"/>
          <w:sz w:val="20"/>
        </w:rPr>
        <w:t>Supplemental Financial Statement Data</w:t>
      </w:r>
      <w:r>
        <w:rPr>
          <w:color w:val="000000"/>
          <w:shd w:fill="FFFFFF" w:val="clear"/>
        </w:rPr>
        <w:t xml:space="preserve"> </w:t>
      </w:r>
      <w:r>
        <w:rPr>
          <w:rFonts w:ascii="Times New Roman;serif" w:hAnsi="Times New Roman;serif"/>
          <w:b w:val="false"/>
          <w:color w:val="000000"/>
          <w:sz w:val="20"/>
          <w:shd w:fill="FFFFFF" w:val="clear"/>
        </w:rPr>
        <w:t xml:space="preserve">of the Notes to Consolidated Financial Statements included in this Annual Report </w:t>
      </w:r>
      <w:r>
        <w:rPr>
          <w:rFonts w:ascii="Times New Roman;serif" w:hAnsi="Times New Roman;serif"/>
          <w:b w:val="false"/>
          <w:color w:val="000000"/>
          <w:sz w:val="20"/>
        </w:rPr>
        <w:t>on Form 10-K</w:t>
      </w:r>
      <w:r>
        <w:rPr>
          <w:rFonts w:ascii="Times New Roman;serif" w:hAnsi="Times New Roman;serif"/>
          <w:b w:val="false"/>
          <w:color w:val="000000"/>
          <w:sz w:val="20"/>
          <w:shd w:fill="FFFFFF" w:val="clear"/>
        </w:rPr>
        <w:t xml:space="preserve">, subsequent to the separation, we conducted a quantitative analysis of potential goodwill and long-lived assets impairments, in accordance with Accounting Standards Codification (“ASC”) No. 350, Intangibles - Goodwill and Other. This analysis indicated that the estimated carrying value of our reporting unit exceeded its fair value. Consequently, we recorded a goodwill impairment charge of </w:t>
      </w:r>
      <w:r>
        <w:rPr>
          <w:rFonts w:ascii="Times New Roman;serif" w:hAnsi="Times New Roman;serif"/>
          <w:b w:val="false"/>
          <w:color w:val="000000"/>
          <w:sz w:val="20"/>
        </w:rPr>
        <w:t>$1.8 billion</w:t>
      </w:r>
      <w:r>
        <w:rPr>
          <w:color w:val="000000"/>
          <w:shd w:fill="FFFFFF" w:val="clear"/>
        </w:rPr>
        <w:t xml:space="preserve"> </w:t>
      </w:r>
      <w:r>
        <w:rPr>
          <w:rFonts w:ascii="Times New Roman;serif" w:hAnsi="Times New Roman;serif"/>
          <w:b w:val="false"/>
          <w:color w:val="000000"/>
          <w:sz w:val="20"/>
          <w:shd w:fill="FFFFFF" w:val="clear"/>
        </w:rPr>
        <w:t xml:space="preserve">during the fiscal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July 3, 2026, there were no goodwill impairment charges recorded.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Prior to the separation, we received financing from certain of WDC’s subsidiaries in the form of borrowings under revolving credit agreements and promissory notes to fund activities primarily related to Flash Ventures. Additional information regarding our outstanding notes due to (from) Western Digital Corporation is included in Part II, Item 8., Note 10, </w:t>
      </w:r>
      <w:r>
        <w:rPr>
          <w:rFonts w:ascii="Times New Roman;serif" w:hAnsi="Times New Roman;serif"/>
          <w:b w:val="false"/>
          <w:i/>
          <w:color w:val="000000"/>
          <w:sz w:val="20"/>
        </w:rPr>
        <w:t>Related Parties and Related Commitments and Contingencies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discussed in Part II, Item 8.,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of the Notes to Consolidated Financial Statements included in this Annual Report on Form 10-K,</w:t>
      </w:r>
      <w:r>
        <w:rPr>
          <w:color w:val="000000"/>
          <w:shd w:fill="FFFFFF" w:val="clear"/>
        </w:rPr>
        <w:t xml:space="preserve"> </w:t>
      </w: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we entered into a loan agreement (the “Loan Agreement”) comprised of a seven-year Term Loan B facility in an aggregate principal amount of </w:t>
      </w:r>
      <w:r>
        <w:rPr>
          <w:rFonts w:ascii="Times New Roman;serif" w:hAnsi="Times New Roman;serif"/>
          <w:b w:val="false"/>
          <w:color w:val="000000"/>
          <w:sz w:val="20"/>
        </w:rPr>
        <w:t>$2.0 billion</w:t>
      </w:r>
      <w:r>
        <w:rPr>
          <w:color w:val="000000"/>
          <w:shd w:fill="FFFFFF" w:val="clear"/>
        </w:rPr>
        <w:t xml:space="preserve"> </w:t>
      </w:r>
      <w:r>
        <w:rPr>
          <w:rFonts w:ascii="Times New Roman;serif" w:hAnsi="Times New Roman;serif"/>
          <w:b w:val="false"/>
          <w:color w:val="000000"/>
          <w:sz w:val="20"/>
          <w:shd w:fill="FFFFFF" w:val="clear"/>
        </w:rPr>
        <w:t xml:space="preserve">(the “Term Loan Facility”) and a five-year revolving credit facility (the “Revolving Credit Facility”) in an aggregate principal amount of </w:t>
      </w:r>
      <w:r>
        <w:rPr>
          <w:rFonts w:ascii="Times New Roman;serif" w:hAnsi="Times New Roman;serif"/>
          <w:b w:val="false"/>
          <w:color w:val="000000"/>
          <w:sz w:val="20"/>
        </w:rPr>
        <w:t>$1.5 billion, including up to</w:t>
      </w:r>
      <w:r>
        <w:rPr>
          <w:color w:val="000000"/>
          <w:shd w:fill="FFFFFF" w:val="clear"/>
        </w:rPr>
        <w:t xml:space="preserve"> </w:t>
      </w:r>
      <w:r>
        <w:rPr>
          <w:rFonts w:ascii="Times New Roman;serif" w:hAnsi="Times New Roman;serif"/>
          <w:b w:val="false"/>
          <w:color w:val="000000"/>
          <w:sz w:val="20"/>
        </w:rPr>
        <w:t>$150 million</w:t>
      </w:r>
      <w:r>
        <w:rPr>
          <w:color w:val="000000"/>
          <w:shd w:fill="FFFFFF" w:val="clear"/>
        </w:rPr>
        <w:t xml:space="preserve"> </w:t>
      </w:r>
      <w:r>
        <w:rPr>
          <w:rFonts w:ascii="Times New Roman;serif" w:hAnsi="Times New Roman;serif"/>
          <w:b w:val="false"/>
          <w:color w:val="000000"/>
          <w:sz w:val="20"/>
          <w:shd w:fill="FFFFFF" w:val="clear"/>
        </w:rPr>
        <w:t>for letters of credit.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we borrowed $2.0 billion under the Term Loan Facility. We used a portion of the proceeds of the borrowing to make a net distribution payment of $1.5 billion to WDC, with the remainder used for general corporate purposes of the Company. The proceeds of the Revolving Credit Facility may be used by us for working capital and general corporate purposes.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4, 2026, the Company settled in full the remaining outstanding principal amounts of the Term Loan Facility, plus accrued interest, using cash on hand. In connection with the early settlement of the Term Loan Facility, the Company recognized a loss on debt extinguishment of $46 million resulting from the write-off of the remaining unamortized issuance costs.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xml:space="preserve">, we have drawn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amounts under the Revolving Credit Facility.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Operational Update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2026, we continued to observe that the rapid growth of AI infrastructure is driving demand for high-performance storage products, and AI adoption is driving the need for NAND storage to support these workloads, leading to increased revenues when compared to prior periods. The current demand environment has led to pricing shifts that have positively impacted our business, and we expect these favorable pricing trends to have a positive impact on our revenue and cash flows from operations. We expect AI-driven demand to persist through calendar year 2027 and beyond. Accordingly, we expect to invest in, and allocate resources to, high-value opportunities for both the short-term and long-term benefit of our customers and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pending and ongoing investigations initiated by the United States under Section 232 of the Trade Expansion Act of 1962 and Section 301 of the Trade Act of 1974 that may impact tariff rates for our products. Currently, the majority of our products sold in the U.S. are exempt from tariffs, but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are uncertain and may contribute to increased costs and reduced demand for our products, each of which could harm our financial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Commencing in fiscal 2026, we entered into long-term agreements, which we also refer to as New Business Models, or “NBMs,” with several Datacenter and Edge customers. These agreements generally commit us to deliver, and our customers to purchase, a stated volume of products, mostly over multi-year periods. The agreements include pricing mechanisms consisting of fixed and variable components and are supported by financial guarantees that are intended to provide additional protection in the event a customer does not satisfy their contractual purchase obligations. As NBMs are expected to become our predominant way of doing business, we believe that this business model will contribute to greater predictability of revenue, support production planning, and enhance supply assurance for our customers. While these agreements do not eliminate the risks associated with customer demand, market conditions, or operational execution, we believe they reduce certain elements of industry cyclicality and support our long-term strategic and financial objectives.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will continue to actively monitor developments impacting our business and may take additional responsive actions that we determine to be in the best interest of our business and stakeholders.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the Company became a standalone publicly traded company, and its financial statements are now presented on a consolidated basis. Prior to the separation, the Company’s historical consolidated financial information was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 and the policies and practices that are generally accepted in the industry in which it operates, consistent with prior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discussion reflects our financial condition and results of operations as set forth in the Consolidated Financial Statements included in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Consolidated Statements of Operations include all revenues and costs directly attributable to us, including costs for facilities, functions, and services used by us. Prior to the separation, our business had historically functioned together with the other businesses controlled by WDC. Accordingly, we relied on WDC’s corporate overhead and other support functions. Therefore, certain corporate overhead and shared costs were allocated to us including (i) certain general and administrative expenses related to WDC’s support functions that are provided on a centralized basis within WDC (e.g., expenses for corporate facilities, executive oversight, treasury, finance, legal, human resources, compliance, information technology, employee benefit plans, stock compensation plans and other corporate functions), and (ii) certain operations support costs incurred by WDC, including product sourcing, maintenance and support services, and other supply chain functions. These expenses were specifically identified, when possible, or allocated based on revenues, headcount, usage or other allocation methods that are considered to be a reasonable reflection of the utilization of services provided or benefit received. While management considers that such allocations were made on a reasonable basis consistent with benefits received, the Consolidated Financial Statements included in this Annual Report on Form 10-K may not be indicative of our future performance, do not necessarily include the actual expenses that would have been incurred by us and may not reflect our results of operations, financial position, and cash flows had we been a separate, standalone company during the periods presented. For additional information, see Part II, Item 8.,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of the Notes to Consolidated Financial Statements included in this Annual Report on Form 10-K. </w:t>
      </w:r>
    </w:p>
    <w:p>
      <w:pPr>
        <w:pStyle w:val="TextBody"/>
        <w:bidi w:val="0"/>
        <w:spacing w:before="0" w:after="12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following table sets forth, for the periods presented, selected summary information from our Consolidated Statements of Operations by U.S. dollars and percentage of net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101"/>
        <w:gridCol w:w="738"/>
        <w:gridCol w:w="739"/>
        <w:gridCol w:w="211"/>
        <w:gridCol w:w="721"/>
        <w:gridCol w:w="109"/>
        <w:gridCol w:w="109"/>
        <w:gridCol w:w="109"/>
        <w:gridCol w:w="109"/>
        <w:gridCol w:w="308"/>
        <w:gridCol w:w="308"/>
        <w:gridCol w:w="271"/>
        <w:gridCol w:w="109"/>
        <w:gridCol w:w="109"/>
        <w:gridCol w:w="109"/>
        <w:gridCol w:w="211"/>
        <w:gridCol w:w="660"/>
        <w:gridCol w:w="109"/>
        <w:gridCol w:w="109"/>
        <w:gridCol w:w="109"/>
        <w:gridCol w:w="109"/>
        <w:gridCol w:w="308"/>
        <w:gridCol w:w="308"/>
        <w:gridCol w:w="271"/>
        <w:gridCol w:w="109"/>
        <w:gridCol w:w="109"/>
        <w:gridCol w:w="109"/>
        <w:gridCol w:w="211"/>
        <w:gridCol w:w="616"/>
        <w:gridCol w:w="109"/>
        <w:gridCol w:w="109"/>
        <w:gridCol w:w="109"/>
        <w:gridCol w:w="109"/>
        <w:gridCol w:w="308"/>
        <w:gridCol w:w="308"/>
        <w:gridCol w:w="271"/>
        <w:gridCol w:w="109"/>
        <w:gridCol w:w="109"/>
        <w:gridCol w:w="156"/>
      </w:tblGrid>
      <w:tr>
        <w:trPr/>
        <w:tc>
          <w:tcPr>
            <w:tcW w:w="110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c>
          <w:tcPr>
            <w:tcW w:w="374" w:type="dxa"/>
            <w:gridSpan w:val="3"/>
            <w:tcBorders/>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74" w:type="dxa"/>
            <w:gridSpan w:val="3"/>
            <w:tcBorders/>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separation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business divestiture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securities,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Percentage may not total due to rounding.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presented, summary information regarding our disaggregated revenue:</w:t>
      </w:r>
    </w:p>
    <w:tbl>
      <w:tblPr>
        <w:tblW w:w="6393" w:type="dxa"/>
        <w:jc w:val="left"/>
        <w:tblInd w:w="0" w:type="dxa"/>
        <w:tblLayout w:type="fixed"/>
        <w:tblCellMar>
          <w:top w:w="28" w:type="dxa"/>
          <w:left w:w="28" w:type="dxa"/>
          <w:bottom w:w="28" w:type="dxa"/>
          <w:right w:w="28" w:type="dxa"/>
        </w:tblCellMar>
      </w:tblPr>
      <w:tblGrid>
        <w:gridCol w:w="965"/>
        <w:gridCol w:w="850"/>
        <w:gridCol w:w="854"/>
        <w:gridCol w:w="211"/>
        <w:gridCol w:w="721"/>
        <w:gridCol w:w="109"/>
        <w:gridCol w:w="109"/>
        <w:gridCol w:w="109"/>
        <w:gridCol w:w="109"/>
        <w:gridCol w:w="211"/>
        <w:gridCol w:w="616"/>
        <w:gridCol w:w="109"/>
        <w:gridCol w:w="109"/>
        <w:gridCol w:w="109"/>
        <w:gridCol w:w="109"/>
        <w:gridCol w:w="211"/>
        <w:gridCol w:w="616"/>
        <w:gridCol w:w="266"/>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end market: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Edge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 xml:space="preserve">Total revenue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addresses multiple end markets. Datacenter represents a large and growing end market comprised primarily of products for public or private cloud environments and enterprise customers. Through the Edge end market, we provide our OEM and channel customers a broad array of high-performance flash solutions across personal computer, mobile, gaming, automotive, physical AI, at-home entertainment, and industrial spaces. The Consumer end market is highlighted by our broad range of retail and other end-user products, which capitalize on the strength of our product brand recognition and vast presence around the world.</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Net Revenue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Net revenue increased 175%, or $12,893 million, in 2026 compared to 2025, due to a 437% increase in Datacenter revenue, a 195% increase in Edge revenue, and a 29% increase in Consumer revenue. </w:t>
      </w:r>
      <w:r>
        <w:rPr>
          <w:rFonts w:ascii="Times New Roman;serif" w:hAnsi="Times New Roman;serif"/>
          <w:b w:val="false"/>
          <w:color w:val="000000"/>
          <w:sz w:val="20"/>
          <w:shd w:fill="FFFFFF" w:val="clear"/>
        </w:rPr>
        <w:t xml:space="preserve">Total products sold increased by </w:t>
      </w:r>
      <w:r>
        <w:rPr>
          <w:rFonts w:ascii="Times New Roman;serif" w:hAnsi="Times New Roman;serif"/>
          <w:b w:val="false"/>
          <w:color w:val="000000"/>
          <w:sz w:val="20"/>
        </w:rPr>
        <w:t>mid-teens percent</w:t>
      </w:r>
      <w:r>
        <w:rPr>
          <w:color w:val="000000"/>
          <w:shd w:fill="FFFFFF" w:val="clear"/>
        </w:rPr>
        <w:t xml:space="preserve"> </w:t>
      </w:r>
      <w:r>
        <w:rPr>
          <w:rFonts w:ascii="Times New Roman;serif" w:hAnsi="Times New Roman;serif"/>
          <w:b w:val="false"/>
          <w:color w:val="000000"/>
          <w:sz w:val="20"/>
        </w:rPr>
        <w:t xml:space="preserve">on an exabyte basis.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Datacenter revenue </w:t>
      </w:r>
      <w:r>
        <w:rPr>
          <w:rFonts w:ascii="Times New Roman;serif" w:hAnsi="Times New Roman;serif"/>
          <w:b w:val="false"/>
          <w:color w:val="000000"/>
          <w:sz w:val="20"/>
        </w:rPr>
        <w:t>increased 437%</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$4,193 million</w:t>
      </w:r>
      <w:r>
        <w:rPr>
          <w:rFonts w:ascii="Times New Roman;serif" w:hAnsi="Times New Roman;serif"/>
          <w:b w:val="false"/>
          <w:color w:val="000000"/>
          <w:sz w:val="20"/>
          <w:shd w:fill="FFFFFF" w:val="clear"/>
        </w:rPr>
        <w:t xml:space="preserve">,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primarily due to higher sales and higher pricing. Total products sold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almost 120% on an exabyte basis. Revenue per gigabyte increased by almost 150%.</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Edge revenue </w:t>
      </w:r>
      <w:r>
        <w:rPr>
          <w:rFonts w:ascii="Times New Roman;serif" w:hAnsi="Times New Roman;serif"/>
          <w:b w:val="false"/>
          <w:color w:val="000000"/>
          <w:sz w:val="20"/>
        </w:rPr>
        <w:t>increased 195%</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$8,033 million</w:t>
      </w:r>
      <w:r>
        <w:rPr>
          <w:rFonts w:ascii="Times New Roman;serif" w:hAnsi="Times New Roman;serif"/>
          <w:b w:val="false"/>
          <w:color w:val="000000"/>
          <w:sz w:val="20"/>
          <w:shd w:fill="FFFFFF" w:val="clear"/>
        </w:rPr>
        <w:t xml:space="preserve">,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primarily due to higher sales and higher pricing. Total products sold increased by </w:t>
      </w:r>
      <w:r>
        <w:rPr>
          <w:rFonts w:ascii="Times New Roman;serif" w:hAnsi="Times New Roman;serif"/>
          <w:b w:val="false"/>
          <w:color w:val="000000"/>
          <w:sz w:val="20"/>
        </w:rPr>
        <w:t xml:space="preserve">high single-digits percent </w:t>
      </w:r>
      <w:r>
        <w:rPr>
          <w:rFonts w:ascii="Times New Roman;serif" w:hAnsi="Times New Roman;serif"/>
          <w:b w:val="false"/>
          <w:color w:val="000000"/>
          <w:sz w:val="20"/>
          <w:shd w:fill="FFFFFF" w:val="clear"/>
        </w:rPr>
        <w:t xml:space="preserve">on an exabyte basis. Revenue per gigabyte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almost 180%.</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Consumer revenue </w:t>
      </w:r>
      <w:r>
        <w:rPr>
          <w:rFonts w:ascii="Times New Roman;serif" w:hAnsi="Times New Roman;serif"/>
          <w:b w:val="false"/>
          <w:color w:val="000000"/>
          <w:sz w:val="20"/>
        </w:rPr>
        <w:t>increased 29%, or</w:t>
      </w:r>
      <w:r>
        <w:rPr>
          <w:color w:val="000000"/>
          <w:shd w:fill="FFFFFF" w:val="clear"/>
        </w:rPr>
        <w:t xml:space="preserve"> </w:t>
      </w:r>
      <w:r>
        <w:rPr>
          <w:rFonts w:ascii="Times New Roman;serif" w:hAnsi="Times New Roman;serif"/>
          <w:b w:val="false"/>
          <w:color w:val="000000"/>
          <w:sz w:val="20"/>
        </w:rPr>
        <w:t>$667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primarily due to higher pricing partially offset by lower sales. Total products sold decreased by </w:t>
      </w:r>
      <w:r>
        <w:rPr>
          <w:rFonts w:ascii="Times New Roman;serif" w:hAnsi="Times New Roman;serif"/>
          <w:b w:val="false"/>
          <w:color w:val="000000"/>
          <w:sz w:val="20"/>
        </w:rPr>
        <w:t>mid-teens percent</w:t>
      </w:r>
      <w:r>
        <w:rPr>
          <w:color w:val="000000"/>
          <w:shd w:fill="FFFFFF" w:val="clear"/>
        </w:rPr>
        <w:t xml:space="preserve"> </w:t>
      </w:r>
      <w:r>
        <w:rPr>
          <w:rFonts w:ascii="Times New Roman;serif" w:hAnsi="Times New Roman;serif"/>
          <w:b w:val="false"/>
          <w:color w:val="000000"/>
          <w:sz w:val="20"/>
          <w:shd w:fill="FFFFFF" w:val="clear"/>
        </w:rPr>
        <w:t xml:space="preserve">on an exabyte basis. Revenue per gigabyte increased by </w:t>
      </w:r>
      <w:r>
        <w:rPr>
          <w:rFonts w:ascii="Times New Roman;serif" w:hAnsi="Times New Roman;serif"/>
          <w:b w:val="false"/>
          <w:color w:val="000000"/>
          <w:sz w:val="20"/>
        </w:rPr>
        <w:t>low-fifties percent.</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changes in net revenue by geography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primarily reflected higher revenue in the </w:t>
      </w:r>
      <w:r>
        <w:rPr>
          <w:rFonts w:ascii="Times New Roman;serif" w:hAnsi="Times New Roman;serif"/>
          <w:b w:val="false"/>
          <w:color w:val="000000"/>
          <w:sz w:val="20"/>
        </w:rPr>
        <w:t>Asia</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Americas </w:t>
      </w:r>
      <w:r>
        <w:rPr>
          <w:rFonts w:ascii="Times New Roman;serif" w:hAnsi="Times New Roman;serif"/>
          <w:b w:val="false"/>
          <w:color w:val="000000"/>
          <w:sz w:val="20"/>
          <w:shd w:fill="FFFFFF" w:val="clear"/>
        </w:rPr>
        <w:t>regions from Edge and Datacenter customers,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Consistent with standard industry practice, we offer sales incentives and marketing programs that provide customers with price protection and other incentives or reimbursements that are recorded as reductions of gross rev</w:t>
      </w:r>
      <w:r>
        <w:rPr>
          <w:rFonts w:ascii="Times New Roman;serif" w:hAnsi="Times New Roman;serif"/>
          <w:b w:val="false"/>
          <w:color w:val="000000"/>
          <w:sz w:val="20"/>
        </w:rPr>
        <w:t>enue. For 2026, 2025 and 2024, these programs represented 11%, 19%, and 19%, respectively, of gross revenues. The amounts attributed to our sales incentive and marketing programs generally vary according to several factors, including industry conditio</w:t>
      </w:r>
      <w:r>
        <w:rPr>
          <w:rFonts w:ascii="Times New Roman;serif" w:hAnsi="Times New Roman;serif"/>
          <w:b w:val="false"/>
          <w:color w:val="000000"/>
          <w:sz w:val="20"/>
          <w:shd w:fill="FFFFFF" w:val="clear"/>
        </w:rPr>
        <w:t>ns, list pricing strategies, seasonal demand, competitor actions, channel mix, and overall availability of products. Changes in future customer demand and market conditions may require us to adjust our incentive programs as a percentage of gross revenue.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Gross profit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$12,260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primarily due to</w:t>
      </w:r>
      <w:r>
        <w:rPr>
          <w:color w:val="000000"/>
        </w:rPr>
        <w:t xml:space="preserve"> </w:t>
      </w:r>
      <w:r>
        <w:rPr>
          <w:rFonts w:ascii="Times New Roman;serif" w:hAnsi="Times New Roman;serif"/>
          <w:b w:val="false"/>
          <w:color w:val="000000"/>
          <w:sz w:val="20"/>
        </w:rPr>
        <w:t>higher sales and higher pricing in 2026 compared to 2025 as described above.</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Gross profit margin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4,100 basis points</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primarily due to</w:t>
      </w:r>
      <w:r>
        <w:rPr>
          <w:color w:val="000000"/>
        </w:rPr>
        <w:t xml:space="preserve"> </w:t>
      </w:r>
      <w:r>
        <w:rPr>
          <w:rFonts w:ascii="Times New Roman;serif" w:hAnsi="Times New Roman;serif"/>
          <w:b w:val="false"/>
          <w:color w:val="000000"/>
          <w:sz w:val="20"/>
        </w:rPr>
        <w:t>higher sales and higher pricing.</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Operating Expenses </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Research and development (“R&amp;D”)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$196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primarily due to a </w:t>
      </w:r>
      <w:r>
        <w:rPr>
          <w:rFonts w:ascii="Times New Roman;serif" w:hAnsi="Times New Roman;serif"/>
          <w:b w:val="false"/>
          <w:color w:val="000000"/>
          <w:sz w:val="20"/>
        </w:rPr>
        <w:t>$136 million</w:t>
      </w:r>
      <w:r>
        <w:rPr>
          <w:color w:val="000000"/>
          <w:shd w:fill="FFFFFF" w:val="clear"/>
        </w:rPr>
        <w:t xml:space="preserve"> </w:t>
      </w:r>
      <w:r>
        <w:rPr>
          <w:rFonts w:ascii="Times New Roman;serif" w:hAnsi="Times New Roman;serif"/>
          <w:b w:val="false"/>
          <w:color w:val="000000"/>
          <w:sz w:val="20"/>
        </w:rPr>
        <w:t>increase in compensation and benefits due to variable compensation associated with company performance and increased headcount, a $28 million increase in spending for R&amp;D projects as we continue to invest in innovation, and a $24 million increase in stock based compensation.</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$103 million in 2026 compared to 2025, primarily due to a $68 million increase in compensation and benefits due to variable compensation associated with company performance and increased headcount, partially offset by a $51 million decrease in materials due to a change in business practice for the launch of new products whereby the Company is distributing fewer free samples and has started entering into contracts to sell certain qualification units to customers. The costs of qualification units are recorded in inventory until sold to customers and recognized as cost of revenue. The change contributed to a decrease in materials and production costs classified as selling expenses when compared to the prior year period, partially offset by a $32 million increase in sales and marketing expenses, and a $15 million increase in outside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Goodwill impairment decreased $1.8 billion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 xml:space="preserve">2025 due to an impairment charge resulting from the difference between the carrying value of our reporting unit and its fair value that was recognized in the previous fiscal year. No such impairment charge was incurred during the current fiscal year. </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Loss on debt extinguishment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Loss on debt extinguishment increased $46 million in 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 xml:space="preserve">2025 due to the write-off of the remaining unamortized issuance costs in connection with the early settlement of the Company’s Term Loan Facility. </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Business separation costs </w:t>
      </w:r>
    </w:p>
    <w:p>
      <w:pPr>
        <w:pStyle w:val="TextBody"/>
        <w:bidi w:val="0"/>
        <w:spacing w:lineRule="auto" w:line="288" w:before="0" w:after="120"/>
        <w:ind w:left="0" w:right="0" w:firstLine="540"/>
        <w:jc w:val="left"/>
        <w:rPr/>
      </w:pPr>
      <w:r>
        <w:rPr>
          <w:rFonts w:ascii="Times New Roman;serif" w:hAnsi="Times New Roman;serif"/>
          <w:b w:val="false"/>
          <w:color w:val="000000"/>
          <w:sz w:val="20"/>
        </w:rPr>
        <w:t>Business separation costs decreased $42 million in 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 primarily due to the completion of the separation from WDC.</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Employee termination and other</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Employee termination and other charges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rPr>
        <w:t xml:space="preserve">as there were no restructuring actions taken in the current period. </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Gain on business divestiture</w:t>
      </w:r>
    </w:p>
    <w:p>
      <w:pPr>
        <w:pStyle w:val="TextBody"/>
        <w:bidi w:val="0"/>
        <w:spacing w:lineRule="auto" w:line="288" w:before="0" w:after="120"/>
        <w:ind w:left="0" w:right="0" w:firstLine="540"/>
        <w:jc w:val="left"/>
        <w:rPr/>
      </w:pPr>
      <w:r>
        <w:rPr>
          <w:rFonts w:ascii="Times New Roman;serif" w:hAnsi="Times New Roman;serif"/>
          <w:b w:val="false"/>
          <w:color w:val="000000"/>
          <w:sz w:val="20"/>
        </w:rPr>
        <w:t>Gain on business divestiture decreased $44 million in 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 xml:space="preserve">2025 primarily due to the pre-tax gain on the sale of 80% of the Company’s interest in </w:t>
      </w:r>
      <w:r>
        <w:rPr>
          <w:rFonts w:ascii="Times New Roman;serif" w:hAnsi="Times New Roman;serif"/>
          <w:b w:val="false"/>
          <w:color w:val="000000"/>
          <w:sz w:val="20"/>
          <w:shd w:fill="FFFFFF" w:val="clear"/>
        </w:rPr>
        <w:t xml:space="preserve">SanDisk Semiconductor (Shanghai) Co. Ltd. (“SDSS”) recognized in the prior fiscal year and no comparable transaction in the current fiscal year. </w:t>
      </w:r>
    </w:p>
    <w:p>
      <w:pPr>
        <w:pStyle w:val="TextBody"/>
        <w:bidi w:val="0"/>
        <w:spacing w:lineRule="auto" w:line="288" w:before="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Interest and Other Income (Expense), net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Interest and other income (expense), net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$730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primarily due to a gain on equity securities, due to the Company’s investment in Nanya Technology Corporation (“Nanya”), for which there was no activity in the comparable year. This </w:t>
      </w:r>
      <w:r>
        <w:rPr>
          <w:rFonts w:ascii="Times New Roman;serif" w:hAnsi="Times New Roman;serif"/>
          <w:b w:val="false"/>
          <w:color w:val="000000"/>
          <w:sz w:val="20"/>
        </w:rPr>
        <w:t>$807 million</w:t>
      </w:r>
      <w:r>
        <w:rPr>
          <w:color w:val="000000"/>
          <w:shd w:fill="FFFFFF" w:val="clear"/>
        </w:rPr>
        <w:t xml:space="preserve"> </w:t>
      </w:r>
      <w:r>
        <w:rPr>
          <w:rFonts w:ascii="Times New Roman;serif" w:hAnsi="Times New Roman;serif"/>
          <w:b w:val="false"/>
          <w:color w:val="000000"/>
          <w:sz w:val="20"/>
          <w:shd w:fill="FFFFFF" w:val="clear"/>
        </w:rPr>
        <w:t>gain was offse</w:t>
      </w:r>
      <w:r>
        <w:rPr>
          <w:rFonts w:ascii="Times New Roman;serif" w:hAnsi="Times New Roman;serif"/>
          <w:b w:val="false"/>
          <w:color w:val="000000"/>
          <w:sz w:val="20"/>
        </w:rPr>
        <w:t>t by a $118 million increase in other expenses which was primarily due to the settlement of certain non-operating legal matters, partially offset by a $48 million increase in interest income related to cash and investment accounts.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H.R. 1, more widely known as the One Big Beautiful Bill Act </w:t>
      </w:r>
      <w:r>
        <w:rPr>
          <w:rFonts w:ascii="Times New Roman;serif" w:hAnsi="Times New Roman;serif"/>
          <w:b w:val="false"/>
          <w:color w:val="000000"/>
          <w:sz w:val="20"/>
        </w:rPr>
        <w:t>(“OBBBA”)</w:t>
      </w:r>
      <w:r>
        <w:rPr>
          <w:rFonts w:ascii="Times New Roman;serif" w:hAnsi="Times New Roman;serif"/>
          <w:b w:val="false"/>
          <w:color w:val="000000"/>
          <w:sz w:val="20"/>
          <w:shd w:fill="FFFFFF" w:val="clear"/>
        </w:rPr>
        <w:t xml:space="preserve">, was signed into law on July 4, 2025. It reversed the requirement for capitalization of U.S. research and development expenditures that came into law under the Tax Cuts and Jobs Act of 2017, but the mandatory requirement of capitalization of foreign research and development expenditures remains. </w:t>
      </w:r>
      <w:r>
        <w:rPr>
          <w:rFonts w:ascii="Times New Roman;serif" w:hAnsi="Times New Roman;serif"/>
          <w:b w:val="false"/>
          <w:color w:val="000000"/>
          <w:sz w:val="20"/>
        </w:rPr>
        <w:t xml:space="preserve">The tax rates for income earned by our foreign subsidiaries will also be changed under H.R. 1, which applies to our fiscal years 2027 and onward. </w:t>
      </w:r>
      <w:r>
        <w:rPr>
          <w:rFonts w:ascii="Times New Roman;serif" w:hAnsi="Times New Roman;serif"/>
          <w:b w:val="false"/>
          <w:color w:val="000000"/>
          <w:sz w:val="20"/>
          <w:shd w:fill="FFFFFF" w:val="clear"/>
        </w:rPr>
        <w:t xml:space="preserve">Depending on our operating results, these changes can materially impact our effective tax rate and reduce our operating cash flows. </w:t>
      </w:r>
      <w:r>
        <w:rPr>
          <w:rFonts w:ascii="Times New Roman;serif" w:hAnsi="Times New Roman;serif"/>
          <w:b w:val="false"/>
          <w:color w:val="000000"/>
          <w:sz w:val="20"/>
        </w:rPr>
        <w:t>During the</w:t>
      </w:r>
      <w:r>
        <w:rPr>
          <w:color w:val="000000"/>
          <w:shd w:fill="FFFFFF" w:val="clear"/>
        </w:rPr>
        <w:t xml:space="preserve"> </w:t>
      </w:r>
      <w:r>
        <w:rPr>
          <w:rFonts w:ascii="Times New Roman;serif" w:hAnsi="Times New Roman;serif"/>
          <w:b w:val="false"/>
          <w:color w:val="000000"/>
          <w:sz w:val="20"/>
        </w:rPr>
        <w:t>fiscal year ended</w:t>
      </w:r>
      <w:r>
        <w:rPr>
          <w:color w:val="000000"/>
          <w:shd w:fill="FFFFFF" w:val="clear"/>
        </w:rPr>
        <w:t xml:space="preserve">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w</w:t>
      </w:r>
      <w:r>
        <w:rPr>
          <w:rFonts w:ascii="Times New Roman;serif" w:hAnsi="Times New Roman;serif"/>
          <w:b w:val="false"/>
          <w:color w:val="000000"/>
          <w:sz w:val="20"/>
        </w:rPr>
        <w:t>e recorded a $10 million tax benefit in relation to the OBBBA’s impact on the Company’s 2025 tax provision.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We do not expect to be subject to the CAMT of 15% for fiscal year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as our average annual AFSI did not exceed $1.0 billion for the preceding three-year period. We expect to be subject to CAMT in fiscal year 2027.</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20, 2021, the Organisation for Economic Co-operation and Development G20 Inclusive Framework on Base Erosion and Profit Shifting released Model Global Anti-Base Erosion rules under Pillar Two (“Pillar Two”). Pillar Two is currently effective in most of the jurisdictions in which we operate. Accordingly, these taxes are included in the Company’s Income tax expense for the year ended July 3, 2026.</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our Income tax expense and the effective tax rate:</w:t>
      </w:r>
    </w:p>
    <w:tbl>
      <w:tblPr>
        <w:tblW w:w="6317" w:type="dxa"/>
        <w:jc w:val="left"/>
        <w:tblInd w:w="0" w:type="dxa"/>
        <w:tblLayout w:type="fixed"/>
        <w:tblCellMar>
          <w:top w:w="28" w:type="dxa"/>
          <w:left w:w="28" w:type="dxa"/>
          <w:bottom w:w="28" w:type="dxa"/>
          <w:right w:w="28" w:type="dxa"/>
        </w:tblCellMar>
      </w:tblPr>
      <w:tblGrid>
        <w:gridCol w:w="803"/>
        <w:gridCol w:w="705"/>
        <w:gridCol w:w="711"/>
        <w:gridCol w:w="211"/>
        <w:gridCol w:w="721"/>
        <w:gridCol w:w="271"/>
        <w:gridCol w:w="109"/>
        <w:gridCol w:w="109"/>
        <w:gridCol w:w="109"/>
        <w:gridCol w:w="211"/>
        <w:gridCol w:w="691"/>
        <w:gridCol w:w="271"/>
        <w:gridCol w:w="109"/>
        <w:gridCol w:w="109"/>
        <w:gridCol w:w="109"/>
        <w:gridCol w:w="211"/>
        <w:gridCol w:w="54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relative mix of earnings and losses by jurisdiction, foreign-derived deduction-eligible income, credits, and tax holidays in Malaysia that will expire at various dates during years 2028 through 2031 resulted in decreases to the effective tax rate below the U.S. statutory rate for the year ended July 3,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the year ended June 27, 2025 and the U.S. federal statutory rate of 21% are the relative mix of earnings and losses by jurisdiction, the goodwill impairment, the foreign income inclusion, credits, and tax holidays in Malaysia.</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For additional information regarding income tax expense, see Part II, Item 8., Note 14, </w:t>
      </w: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 xml:space="preserve">of the Notes to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Financial condition, liquidity and capital resources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Consolidated Statements of Cash Flows: </w:t>
      </w:r>
    </w:p>
    <w:tbl>
      <w:tblPr>
        <w:tblW w:w="7002" w:type="dxa"/>
        <w:jc w:val="left"/>
        <w:tblInd w:w="0" w:type="dxa"/>
        <w:tblLayout w:type="fixed"/>
        <w:tblCellMar>
          <w:top w:w="28" w:type="dxa"/>
          <w:left w:w="28" w:type="dxa"/>
          <w:bottom w:w="28" w:type="dxa"/>
          <w:right w:w="28" w:type="dxa"/>
        </w:tblCellMar>
      </w:tblPr>
      <w:tblGrid>
        <w:gridCol w:w="1255"/>
        <w:gridCol w:w="1100"/>
        <w:gridCol w:w="1110"/>
        <w:gridCol w:w="211"/>
        <w:gridCol w:w="721"/>
        <w:gridCol w:w="109"/>
        <w:gridCol w:w="109"/>
        <w:gridCol w:w="109"/>
        <w:gridCol w:w="109"/>
        <w:gridCol w:w="211"/>
        <w:gridCol w:w="616"/>
        <w:gridCol w:w="109"/>
        <w:gridCol w:w="109"/>
        <w:gridCol w:w="109"/>
        <w:gridCol w:w="109"/>
        <w:gridCol w:w="211"/>
        <w:gridCol w:w="54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alignment with market conditions, we maintained what we believe to be a conservative capital expenditure strategy for fiscal years 2026 and 2025. For fiscal year 2027, we anticipate increased capital investments as we transition to newer nodes to meet the demand and technology needs of our product portfolio.</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We believe our cash and cash equivalents will be sufficient to meet our working capital and capital expenditure needs, as well as to fund any repurchases of our shares under the Repurchase Program (as defined under </w:t>
      </w:r>
      <w:r>
        <w:rPr>
          <w:rFonts w:ascii="Times New Roman;serif" w:hAnsi="Times New Roman;serif"/>
          <w:b w:val="false"/>
          <w:i/>
          <w:color w:val="000000"/>
          <w:sz w:val="20"/>
          <w:shd w:fill="FFFFFF" w:val="clear"/>
        </w:rPr>
        <w:t>Share Repurchase Authorization</w:t>
      </w:r>
      <w:r>
        <w:rPr>
          <w:color w:val="000000"/>
          <w:shd w:fill="FFFFFF" w:val="clear"/>
        </w:rPr>
        <w:t xml:space="preserve"> </w:t>
      </w:r>
      <w:r>
        <w:rPr>
          <w:rFonts w:ascii="Times New Roman;serif" w:hAnsi="Times New Roman;serif"/>
          <w:b w:val="false"/>
          <w:color w:val="000000"/>
          <w:sz w:val="20"/>
          <w:shd w:fill="FFFFFF" w:val="clear"/>
        </w:rPr>
        <w:t xml:space="preserve">below). We believe we can also access the various capital markets to further supplement our liquidity position if necessary. Our ability to sustain our working capital position is subject to a number of risks that we discuss in Part I, </w:t>
      </w:r>
      <w:r>
        <w:rPr>
          <w:rFonts w:ascii="Times New Roman;serif" w:hAnsi="Times New Roman;serif"/>
          <w:b w:val="false"/>
          <w:color w:val="000000"/>
          <w:sz w:val="20"/>
        </w:rPr>
        <w:t>Item 1A.,</w:t>
      </w:r>
      <w:r>
        <w:rPr>
          <w:color w:val="000000"/>
          <w:shd w:fill="FFFFFF" w:val="clear"/>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included in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 total of $2,879 million and $692 million of our cash and cash equivalents were held outside of the U.S. as of </w:t>
      </w:r>
      <w:r>
        <w:rPr>
          <w:rFonts w:ascii="Times New Roman;serif" w:hAnsi="Times New Roman;serif"/>
          <w:b w:val="false"/>
          <w:color w:val="000000"/>
          <w:sz w:val="20"/>
        </w:rPr>
        <w:t>July 3,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27, 2025,</w:t>
      </w:r>
      <w:r>
        <w:rPr>
          <w:color w:val="000000"/>
          <w:shd w:fill="FFFFFF" w:val="clear"/>
        </w:rPr>
        <w:t xml:space="preserve"> </w:t>
      </w:r>
      <w:r>
        <w:rPr>
          <w:rFonts w:ascii="Times New Roman;serif" w:hAnsi="Times New Roman;serif"/>
          <w:b w:val="false"/>
          <w:color w:val="000000"/>
          <w:sz w:val="20"/>
          <w:shd w:fill="FFFFFF" w:val="clear"/>
        </w:rPr>
        <w:t>respectively. There are no material tax consequences that were not previously accrued for the repatriation of this cash. Our cash equivalents are primarily invested in money market funds that invest in U.S. Treasury securities and U.S. Government agency securities.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primarily consists of net income or loss, adjusted for non-cash charges, plus or minus changes in operating assets and liabilities. Net cash used as a result of changes in operating assets and liabilities was $212 million for 2026, compared to $380 million net cash provided for 2025 and to $86 million net cash provided for 2024, reflecting an increase in the volume of our business, as discussed above.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our operating assets and liabilities are largely affected by our working capital requirements, which are dependent on the volume of our business and the effective management of our cash conversion cycle as well as timing of payments for taxes. Our cash conversion cycle measures how quickly we can convert our products into cash through sales. The cash conversion cycles were as follows (in days):</w:t>
      </w:r>
    </w:p>
    <w:tbl>
      <w:tblPr>
        <w:tblW w:w="4876" w:type="dxa"/>
        <w:jc w:val="left"/>
        <w:tblInd w:w="0" w:type="dxa"/>
        <w:tblLayout w:type="fixed"/>
        <w:tblCellMar>
          <w:top w:w="28" w:type="dxa"/>
          <w:left w:w="28" w:type="dxa"/>
          <w:bottom w:w="28" w:type="dxa"/>
          <w:right w:w="28" w:type="dxa"/>
        </w:tblCellMar>
      </w:tblPr>
      <w:tblGrid>
        <w:gridCol w:w="810"/>
        <w:gridCol w:w="711"/>
        <w:gridCol w:w="714"/>
        <w:gridCol w:w="232"/>
        <w:gridCol w:w="234"/>
        <w:gridCol w:w="176"/>
        <w:gridCol w:w="109"/>
        <w:gridCol w:w="109"/>
        <w:gridCol w:w="109"/>
        <w:gridCol w:w="232"/>
        <w:gridCol w:w="234"/>
        <w:gridCol w:w="176"/>
        <w:gridCol w:w="109"/>
        <w:gridCol w:w="109"/>
        <w:gridCol w:w="109"/>
        <w:gridCol w:w="232"/>
        <w:gridCol w:w="234"/>
        <w:gridCol w:w="237"/>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sales outstanding</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in inventory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payable outstanding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conversion cycle</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days sales outstanding, or DSO, are generally due to the timing of shipments. Changes in days in inventory, or DIO, are generally related to the timing of inventory builds. Changes in days payable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2026, DSO decreased 3 days when compared to the prior year, primarily due to the timing of shipments and continued strong receivables collections. DIO increased 43 days over the prior year, primarily due to inventory builds to meet demand. DPO increased 14 days over the prior year, primarily due to routine variations in the timing of purchases and payments.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Net cash used in investing activities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primarily consisted of </w:t>
      </w:r>
      <w:r>
        <w:rPr>
          <w:rFonts w:ascii="Times New Roman;serif" w:hAnsi="Times New Roman;serif"/>
          <w:b w:val="false"/>
          <w:color w:val="000000"/>
          <w:sz w:val="20"/>
        </w:rPr>
        <w:t>$970 million in purchases of marketable equity securities, $275 million</w:t>
      </w:r>
      <w:r>
        <w:rPr>
          <w:color w:val="000000"/>
          <w:shd w:fill="FFFFFF" w:val="clear"/>
        </w:rPr>
        <w:t xml:space="preserve"> </w:t>
      </w:r>
      <w:r>
        <w:rPr>
          <w:rFonts w:ascii="Times New Roman;serif" w:hAnsi="Times New Roman;serif"/>
          <w:b w:val="false"/>
          <w:color w:val="000000"/>
          <w:sz w:val="20"/>
          <w:shd w:fill="FFFFFF" w:val="clear"/>
        </w:rPr>
        <w:t xml:space="preserve">in net issuances from activity related to Flash Ventures and </w:t>
      </w:r>
      <w:r>
        <w:rPr>
          <w:rFonts w:ascii="Times New Roman;serif" w:hAnsi="Times New Roman;serif"/>
          <w:b w:val="false"/>
          <w:color w:val="000000"/>
          <w:sz w:val="20"/>
        </w:rPr>
        <w:t>$177 million in capital expenditures</w:t>
      </w:r>
      <w:r>
        <w:rPr>
          <w:rFonts w:ascii="Times New Roman;serif" w:hAnsi="Times New Roman;serif"/>
          <w:b w:val="false"/>
          <w:color w:val="000000"/>
          <w:sz w:val="20"/>
          <w:shd w:fill="FFFFFF" w:val="clear"/>
        </w:rPr>
        <w:t xml:space="preserve">, partially offset by </w:t>
      </w:r>
      <w:r>
        <w:rPr>
          <w:rFonts w:ascii="Times New Roman;serif" w:hAnsi="Times New Roman;serif"/>
          <w:b w:val="false"/>
          <w:color w:val="000000"/>
          <w:sz w:val="20"/>
        </w:rPr>
        <w:t>$25 million</w:t>
      </w:r>
      <w:r>
        <w:rPr>
          <w:color w:val="000000"/>
          <w:shd w:fill="FFFFFF" w:val="clear"/>
        </w:rPr>
        <w:t xml:space="preserve"> </w:t>
      </w:r>
      <w:r>
        <w:rPr>
          <w:rFonts w:ascii="Times New Roman;serif" w:hAnsi="Times New Roman;serif"/>
          <w:b w:val="false"/>
          <w:color w:val="000000"/>
          <w:sz w:val="20"/>
          <w:shd w:fill="FFFFFF" w:val="clear"/>
        </w:rPr>
        <w:t xml:space="preserve">in net proceeds from our sale of a majority interest in one of our subsidiaries. Net cash provided by investing activities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primarily consisted of $401 million in net proceeds from our sale of a majority interest in one of our subsidiaries and $358 million in net proceeds from activity related to Flash Ventures, partially offset by $204 million in capital expenditures.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Net cash used in financing activities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primarily consisted of</w:t>
      </w:r>
      <w:r>
        <w:rPr>
          <w:color w:val="000000"/>
        </w:rPr>
        <w:t xml:space="preserve"> </w:t>
      </w:r>
      <w:r>
        <w:rPr>
          <w:rFonts w:ascii="Times New Roman;serif" w:hAnsi="Times New Roman;serif"/>
          <w:b w:val="false"/>
          <w:color w:val="000000"/>
          <w:sz w:val="20"/>
        </w:rPr>
        <w:t>$4.5 billion in repurchases of the Company’s common stock pursuant to the Initial Repurchase Program (as defined under</w:t>
      </w:r>
      <w:r>
        <w:rPr>
          <w:color w:val="000000"/>
        </w:rPr>
        <w:t xml:space="preserve"> </w:t>
      </w:r>
      <w:r>
        <w:rPr>
          <w:rFonts w:ascii="Times New Roman;serif" w:hAnsi="Times New Roman;serif"/>
          <w:b w:val="false"/>
          <w:i/>
          <w:color w:val="000000"/>
          <w:sz w:val="20"/>
        </w:rPr>
        <w:t>Share Repurchase Authorization</w:t>
      </w:r>
      <w:r>
        <w:rPr>
          <w:color w:val="000000"/>
        </w:rPr>
        <w:t xml:space="preserve"> </w:t>
      </w:r>
      <w:r>
        <w:rPr>
          <w:rFonts w:ascii="Times New Roman;serif" w:hAnsi="Times New Roman;serif"/>
          <w:b w:val="false"/>
          <w:color w:val="000000"/>
          <w:sz w:val="20"/>
        </w:rPr>
        <w:t xml:space="preserve">below), $1.9 billion for repayments and eventual settlement of the Term Loan Facility, and $630 million in payments of taxes on vested stock awards. </w:t>
      </w:r>
      <w:r>
        <w:rPr>
          <w:rFonts w:ascii="Times New Roman;serif" w:hAnsi="Times New Roman;serif"/>
          <w:b w:val="false"/>
          <w:color w:val="000000"/>
          <w:sz w:val="20"/>
          <w:shd w:fill="FFFFFF" w:val="clear"/>
        </w:rPr>
        <w:t xml:space="preserve">Net cash provided by financing activities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primarily consisted of $2.0 billion in proceeds from borrowings from the Term Loan Facility, $550 million in proceeds from borrowings on notes due to WDC, and $101 million in proceeds from principal repayments on notes due from WDC, partially offset by $1.9 billion transferred to WDC, $100 million in repayment on the Term Loan Facility, and $76 million in net repayments on notes due to WDC.</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 discussion of our cash flows for 2024, including a comparison of such cash flows to 2023, is included in Part II, Item 7.,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included in our 2025 Annual Report on Form 10-K, filed with the U.S. Securities and Exchange Commission (“SEC”) on August 21, 2025.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Other than the Flash Ventures, SDSS and Nanya-related commitments incurred in the normal course of business</w:t>
      </w:r>
      <w:r>
        <w:rPr>
          <w:color w:val="EE2724"/>
        </w:rPr>
        <w:t xml:space="preserve"> </w:t>
      </w:r>
      <w:r>
        <w:rPr>
          <w:rFonts w:ascii="Times New Roman;serif" w:hAnsi="Times New Roman;serif"/>
          <w:b w:val="false"/>
          <w:color w:val="000000"/>
          <w:sz w:val="20"/>
        </w:rPr>
        <w:t xml:space="preserve">and certain indemnification provisions (see </w:t>
      </w:r>
      <w:r>
        <w:rPr>
          <w:color w:val="000000"/>
        </w:rPr>
        <w:t>“</w:t>
      </w:r>
      <w:r>
        <w:rPr>
          <w:rFonts w:ascii="Times New Roman;serif" w:hAnsi="Times New Roman;serif"/>
          <w:b w:val="false"/>
          <w:i/>
          <w:color w:val="000000"/>
          <w:sz w:val="20"/>
        </w:rPr>
        <w:t>Short-and-Long-term Liquidity</w:t>
      </w:r>
      <w:r>
        <w:rPr>
          <w:color w:val="000000"/>
        </w:rPr>
        <w:t>—</w:t>
      </w:r>
      <w:r>
        <w:rPr>
          <w:rFonts w:ascii="Times New Roman;serif" w:hAnsi="Times New Roman;serif"/>
          <w:b w:val="false"/>
          <w:i/>
          <w:color w:val="000000"/>
          <w:sz w:val="20"/>
        </w:rPr>
        <w:t>Purchase Obligations and Other Commitments”</w:t>
      </w:r>
      <w:r>
        <w:rPr>
          <w:color w:val="000000"/>
        </w:rPr>
        <w:t xml:space="preserve"> </w:t>
      </w:r>
      <w:r>
        <w:rPr>
          <w:rFonts w:ascii="Times New Roman;serif" w:hAnsi="Times New Roman;serif"/>
          <w:b w:val="false"/>
          <w:color w:val="000000"/>
          <w:sz w:val="20"/>
        </w:rPr>
        <w:t xml:space="preserve">below), we do not have any other material off-balance sheet financing arrangements or liabilities, guarantee contracts, retained or contingent interests in transferred assets, or any other obligations arising out of a material variable interest in an unconsolidated entity. We do not have any majority-owned subsidiaries that are not included in the Consolidated Financial Statements. Additionally, with the exception of Flash Ventures, the SDSS Venture and the Unis Venture, we do not have an interest in, or relationships with, any variable interest entities. For additional information regarding our off-balance sheet arrangements, see Part II, Item 8.,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 xml:space="preserve">of the Notes to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Short-and-Long-term Liquidity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known material cash requirements, including those for capital expenditures, as of July 3, 2026. In addition, see the discussions further below related to unrecognized tax benefits, foreign exchange contracts, indemnifications, long term agreements and share repurchase authorization.</w:t>
      </w:r>
    </w:p>
    <w:tbl>
      <w:tblPr>
        <w:tblW w:w="10205" w:type="dxa"/>
        <w:jc w:val="left"/>
        <w:tblInd w:w="0" w:type="dxa"/>
        <w:tblLayout w:type="fixed"/>
        <w:tblCellMar>
          <w:top w:w="28" w:type="dxa"/>
          <w:left w:w="28" w:type="dxa"/>
          <w:bottom w:w="28" w:type="dxa"/>
          <w:right w:w="28" w:type="dxa"/>
        </w:tblCellMar>
      </w:tblPr>
      <w:tblGrid>
        <w:gridCol w:w="818"/>
        <w:gridCol w:w="719"/>
        <w:gridCol w:w="723"/>
        <w:gridCol w:w="211"/>
        <w:gridCol w:w="721"/>
        <w:gridCol w:w="109"/>
        <w:gridCol w:w="109"/>
        <w:gridCol w:w="109"/>
        <w:gridCol w:w="109"/>
        <w:gridCol w:w="238"/>
        <w:gridCol w:w="695"/>
        <w:gridCol w:w="122"/>
        <w:gridCol w:w="109"/>
        <w:gridCol w:w="109"/>
        <w:gridCol w:w="109"/>
        <w:gridCol w:w="315"/>
        <w:gridCol w:w="922"/>
        <w:gridCol w:w="163"/>
        <w:gridCol w:w="109"/>
        <w:gridCol w:w="109"/>
        <w:gridCol w:w="109"/>
        <w:gridCol w:w="315"/>
        <w:gridCol w:w="922"/>
        <w:gridCol w:w="163"/>
        <w:gridCol w:w="109"/>
        <w:gridCol w:w="109"/>
        <w:gridCol w:w="109"/>
        <w:gridCol w:w="439"/>
        <w:gridCol w:w="973"/>
        <w:gridCol w:w="329"/>
      </w:tblGrid>
      <w:tr>
        <w:trPr/>
        <w:tc>
          <w:tcPr>
            <w:tcW w:w="8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year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 Years (2028 - 2029)</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 Years (2030 - 2031)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 (Beyond 2031)</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Flash Ventures related commitments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 and other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Flash Ventures depreciation reimbursement and lease payments on owned and committed equipment, funding commitments for loans and equity investments and payments for other committed expenses, including research and development and building depreciation and payments made directly to Kioxia in consideration for the manufacturing services and continued availability of supply. Funding commitments assume no additional operating lease guarantees. Additional operating lease guarantees can reduce funding commitments.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120"/>
        <w:ind w:left="0" w:right="0" w:firstLine="540"/>
        <w:jc w:val="left"/>
        <w:rPr/>
      </w:pPr>
      <w:r>
        <w:rPr>
          <w:rFonts w:ascii="Times New Roman;serif" w:hAnsi="Times New Roman;serif"/>
          <w:b w:val="false"/>
          <w:color w:val="000000"/>
          <w:sz w:val="20"/>
        </w:rPr>
        <w:t>In connection with the separation, on February 21, 2025, we entered into the Loan Agreement, comprised of the $1.5 billion Revolving Credit Facility, on which no amounts have been drawn, and the $2.0 billion Term Loan Facility which was due in 2032. The Company used a portion of the proceeds received from the Term Loan Facility, as well as cash on hand, to make a net distribution payment of $1.5 billion</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o WDC in exchange for assets, liabilities and certain legal entities of WDC associated with the Company.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4, 2026, the Company settled in full the remaining outstanding principal amounts of the Term Loan Facility, plus accrued interest, using cash on hand. In connection with the early settlement of the Term Loan Facility, the Company recognized a loss on debt extinguishment of $46 million resulting from the write-off of the remaining unamortized issuance costs.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we were in compliance with the Loan Agreement financial covenant that prohibits us from exceeding</w:t>
      </w:r>
      <w:r>
        <w:rPr>
          <w:color w:val="000000"/>
        </w:rPr>
        <w:t xml:space="preserve"> </w:t>
      </w:r>
      <w:r>
        <w:rPr>
          <w:rFonts w:ascii="Times New Roman;serif" w:hAnsi="Times New Roman;serif"/>
          <w:b w:val="false"/>
          <w:color w:val="000000"/>
          <w:sz w:val="20"/>
        </w:rPr>
        <w:t>a maximum Leverage Ratio.</w:t>
      </w:r>
      <w:r>
        <w:rPr>
          <w:color w:val="000000"/>
          <w:shd w:fill="FFFFFF" w:val="clear"/>
        </w:rPr>
        <w:t xml:space="preserve"> </w:t>
      </w:r>
      <w:r>
        <w:rPr>
          <w:rFonts w:ascii="Times New Roman;serif" w:hAnsi="Times New Roman;serif"/>
          <w:b w:val="false"/>
          <w:color w:val="000000"/>
          <w:sz w:val="20"/>
          <w:shd w:fill="FFFFFF" w:val="clear"/>
        </w:rPr>
        <w:t>Additi</w:t>
      </w:r>
      <w:r>
        <w:rPr>
          <w:rFonts w:ascii="Times New Roman;serif" w:hAnsi="Times New Roman;serif"/>
          <w:b w:val="false"/>
          <w:color w:val="000000"/>
          <w:sz w:val="20"/>
        </w:rPr>
        <w:t xml:space="preserve">onal information regarding our indebtedness, including information about availability under our revolving credit facility and the principal repayment terms, interest rates, covenants, collateral and other key terms of our outstanding indebtedness, is included in Part II, Item 8.,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Flash Ventures</w:t>
      </w:r>
    </w:p>
    <w:p>
      <w:pPr>
        <w:pStyle w:val="TextBody"/>
        <w:bidi w:val="0"/>
        <w:spacing w:lineRule="auto" w:line="288" w:before="0" w:after="120"/>
        <w:ind w:left="0" w:right="0" w:firstLine="540"/>
        <w:jc w:val="left"/>
        <w:rPr/>
      </w:pPr>
      <w:r>
        <w:rPr>
          <w:rFonts w:ascii="Times New Roman;serif" w:hAnsi="Times New Roman;serif"/>
          <w:b w:val="false"/>
          <w:color w:val="000000"/>
          <w:sz w:val="20"/>
        </w:rPr>
        <w:t>Flash Ventures sells to, and leases back from, a consortium of financial institutions a portion of its tools and has entered into equipment lease agreements, of which we guarantee half of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July 3, 2026, and as of June 27, 2025, we were in compliance with all covenants under these Japanese lease facilities. See Part II, Item 8., Note 10,</w:t>
      </w:r>
      <w:r>
        <w:rPr>
          <w:color w:val="000000"/>
        </w:rPr>
        <w:t xml:space="preserve"> </w:t>
      </w:r>
      <w:r>
        <w:rPr>
          <w:rFonts w:ascii="Times New Roman;serif" w:hAnsi="Times New Roman;serif"/>
          <w:b w:val="false"/>
          <w:i/>
          <w:color w:val="000000"/>
          <w:sz w:val="20"/>
        </w:rPr>
        <w:t>Related Parties and Related Commitments and Contingencies</w:t>
      </w:r>
      <w:r>
        <w:rPr>
          <w:color w:val="000000"/>
        </w:rPr>
        <w:t xml:space="preserve"> </w:t>
      </w:r>
      <w:r>
        <w:rPr>
          <w:rFonts w:ascii="Times New Roman;serif" w:hAnsi="Times New Roman;serif"/>
          <w:b w:val="false"/>
          <w:color w:val="000000"/>
          <w:sz w:val="20"/>
        </w:rPr>
        <w:t>of the Notes to Consolidated Financial Statements included in this Annual Report on Form 10-K for information regarding Flash Ventures.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Purchase Obligations and Other Commitments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w:t>
      </w:r>
      <w:r>
        <w:rPr>
          <w:color w:val="000000"/>
        </w:rPr>
        <w:t>“</w:t>
      </w:r>
      <w:r>
        <w:rPr>
          <w:rFonts w:ascii="Times New Roman;serif" w:hAnsi="Times New Roman;serif"/>
          <w:b w:val="false"/>
          <w:i/>
          <w:color w:val="000000"/>
          <w:sz w:val="20"/>
        </w:rPr>
        <w:t xml:space="preserve">Purchase obligations and other commitments” </w:t>
      </w:r>
      <w:r>
        <w:rPr>
          <w:rFonts w:ascii="Times New Roman;serif" w:hAnsi="Times New Roman;serif"/>
          <w:b w:val="false"/>
          <w:color w:val="000000"/>
          <w:sz w:val="20"/>
        </w:rPr>
        <w:t>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our liability for unrecognized tax benefits (excluding accrued interest and penalties) was approximately $323 million. Accrued interest and penalties included in the Company’s liability related to unrecognized tax benefits as of July 3, 2026 and June 27, 2025 was $16 million and $11 million, respectively. Of these amounts, approximately $259 million could result in potential cash payments.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Foreign Exchange Contracts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purchase foreign exchange contracts to hedge the impact of foreign currency fluctuations on certain underlying assets, liabilities and commitments for operating expenses and product costs denominated in foreign currencies. See Part II, Item 7A.,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included in this Annual Report on Form 10-K 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Concurrent with the separation, we and WDC entered into a Tax Matters Agreement under which we and WDC agreed to indemnify each other for certain tax positions. As a result of this agreement, we recorded a tax indemnification liability of $112 million 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which was recognized as an adjustment to the Net investment from Western Digital Corporation. The remaining tax indemnification liability of $128 million is classified as Other liabilities in the Consolidated Balance Sheets 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Long-Term Agreements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connection with entering into long-term agreements with certain customers, we received customer advances that increased our available cash and cash equivalents. We record these customer payments as contract liabilities in advance of performance under such contract. As of July 3, 2026, our contract liabilities were </w:t>
      </w:r>
      <w:r>
        <w:rPr>
          <w:rFonts w:ascii="Times New Roman;serif" w:hAnsi="Times New Roman;serif"/>
          <w:b w:val="false"/>
          <w:color w:val="000000"/>
          <w:sz w:val="20"/>
          <w:shd w:fill="FFFFFF" w:val="clear"/>
        </w:rPr>
        <w:t>$1,242 million</w:t>
      </w:r>
      <w:r>
        <w:rPr>
          <w:rFonts w:ascii="Times New Roman;serif" w:hAnsi="Times New Roman;serif"/>
          <w:b w:val="false"/>
          <w:color w:val="000000"/>
          <w:sz w:val="20"/>
        </w:rPr>
        <w:t>, which primarily relate to the remaining performance obligations under these long-term agreements. Our long-term agreements may also require customers to maintain refundable security deposits with the Company or establish and maintain collateral with third-party financial institutions during the contract term. Security deposits are recorded as refund liabilities within the Consolidated Balance Sheets. As of July 3, 2026, our refund liabilities were $1,500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See Part II, Item 8., Note 4, </w:t>
      </w: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of the Notes to Consolidated Financial Statements included in this Annual Report on Form 10-K for information regarding our contract liabilities. </w:t>
      </w:r>
    </w:p>
    <w:p>
      <w:pPr>
        <w:pStyle w:val="TextBody"/>
        <w:bidi w:val="0"/>
        <w:spacing w:lineRule="auto" w:line="288" w:before="0" w:after="120"/>
        <w:ind w:left="0" w:right="0" w:firstLine="180"/>
        <w:jc w:val="both"/>
        <w:rPr>
          <w:rFonts w:ascii="Times New Roman;serif" w:hAnsi="Times New Roman;serif"/>
          <w:b/>
          <w:i/>
          <w:color w:val="000000"/>
          <w:sz w:val="20"/>
        </w:rPr>
      </w:pPr>
      <w:r>
        <w:rPr>
          <w:rFonts w:ascii="Times New Roman;serif" w:hAnsi="Times New Roman;serif"/>
          <w:b/>
          <w:i/>
          <w:color w:val="000000"/>
          <w:sz w:val="20"/>
        </w:rPr>
        <w:t>Share Repurchase Authorization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30, 2026, we announced that our Board of Directors had approved a $6.0 billion (exclusive of fees and commissions) share repurchase program (the “Initial Repurchase Program”). On August 5, 2026, we announced that our Board of Directors had approved an additional $14.0 billion share repurchase program (exclusive of fees and commissions) (each of the share repurchase programs, collectively and separately, the “Repurchase Program”). The acquisition of shares under the Repurchase Program may be effected from time to time through open market purchases (including under a plan adopted pursuant to Rule 10b5-1 promulgated under the Securities Exchange Act of 1934) or other methods of acquiring shares, in each case on such terms and at such times as shall be permitted by applicable securities laws and determined by our management. We expect shares repurchased under the Repurchase Program to be funded by operating cash flows. The amount and timing of share repurchases will depend on market conditions and other relevant factors. We may suspend or discontinue the Repurchase Program at any time. The approval of the Repurchase Program does not obligate us to repurchase any common shares. During the year ended July 3, 2026, we repurchased 3 million shares of our common stock for an aggregate purchase price of $4.5 billion, and $1.5 billion remained available for future repurchases under the Repurchase Program as of July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For a description of recently issued and adopted accounting pronouncements, including the respective dates of adoption and expected effects on our results of operations and financial condition, see Part II, Item 8., Note 2, </w:t>
      </w:r>
      <w:r>
        <w:rPr>
          <w:rFonts w:ascii="Times New Roman;serif" w:hAnsi="Times New Roman;serif"/>
          <w:b w:val="false"/>
          <w:i/>
          <w:color w:val="000000"/>
          <w:sz w:val="20"/>
        </w:rPr>
        <w:t xml:space="preserve">Recent Accounting Pronouncements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have prepared the accompanying Consolidated Financial Statements in accordance with accounting principles generally accepted in the United States. The preparation of the financial statements requires the use of judgments and estimates that affect the reported amounts of revenues, expenses, assets, and liabilities. We have adopted accounting policies and practices that are generally accepted in the industry in which we operate. If these estimates differ significantly from actual results, the impact to the Consolidated Financial Statements may be material. Our accounting policies are fully described in Part II, Item 8., Note 1, </w:t>
      </w:r>
      <w:r>
        <w:rPr>
          <w:rFonts w:ascii="Times New Roman;serif" w:hAnsi="Times New Roman;serif"/>
          <w:b w:val="false"/>
          <w:i/>
          <w:color w:val="000000"/>
          <w:sz w:val="20"/>
        </w:rPr>
        <w:t xml:space="preserve">Organization, Basis of Presentation and Summary of Significant Accounting Policies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distributors and retailers (collectively referred to as “resellers”) with limited price protection for inventories held by resellers at the time of published list price reductions. We also provide resellers and OEMs with other sales incentive programs. We record estimates of variable consideration related to these items as a reduction of revenue at the time of revenue recognition. We use judgment in our assessment of variable consideration in contracts to be included in the transaction price. We use the expected value method to arrive at the amount of variable consideration. We constrain variable consideration until the likelihood of a significant revenue reversal is not probable and believe that the expected value method is the appropriate estimate of the amount of variable consideration based on the fact that we have a large number of contracts with similar characteristics.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sales to OEMs, the methodology for estimating variable consideration is based on the amount of consideration expected to be earned based on the OEMs’ volume of purchases under agreed-upon sales incentive programs. For sales to resellers, the methodology for estimating variable consideration is based on the amount of consideration expected to be earned from sell-through activity under agreed-upon sales incentive programs. The amount of consideration expected to be earned by the reseller is based on historical pricing information, current pricing trends and channel inventory levels. Estimating the impact of these factors requires judgment and differences between estimated and actual amounts of variable consideration can occur.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value inventories at the lower of cost or net realizable value, or “NRV,” with cost determined on a first-in, first-out basis. We record inventory write-downs of our inventory to the lower of cost or net realizable value or for obsolete or excess inventory based on assumptions, which requires significant judgment. The determination of NRV involves estimating the average selling prices less any selling expenses of inventory based on market conditions and customer demand. To estimate the average selling prices and selling expenses of inventory, we review historical sales, future demand, economic conditions, contract prices and other information.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periodically perform an excess and obsolete analysis of our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If in any period, we can sell inventories that had been written down to a level below the realized selling price in the previous period, higher gross profit would be recognized in that period. </w:t>
      </w:r>
      <w:r>
        <w:rPr>
          <w:rFonts w:ascii="Times New Roman;serif" w:hAnsi="Times New Roman;serif"/>
          <w:b w:val="false"/>
          <w:color w:val="000000"/>
          <w:sz w:val="20"/>
          <w:shd w:fill="FFFFFF" w:val="clear"/>
        </w:rPr>
        <w:t xml:space="preserve">Adjustments to the reserve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immaterial</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7A.    </w:t>
      </w:r>
      <w:r>
        <w:rPr>
          <w:rFonts w:ascii="Times New Roman;serif" w:hAnsi="Times New Roman;serif"/>
          <w:b/>
          <w:i/>
          <w:color w:val="000000"/>
          <w:sz w:val="20"/>
        </w:rPr>
        <w:t>Quantitative and Qualitative Disclosures About Market Risk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Equity Prices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equity market risk through our investment in marketable equity securities in a foreign entity, which we typically do not attempt to reduce or eliminate through hedging activities.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the fair value of our marketable equity securities was $1,777 million. This represents an investment in Nanya, for which the securities are traded on the Taiwan Stock Exchange. To determine a reasonable possible decrease in the market value of our marketable equity securities, we have analyzed the historical market price sensitivity of our investment. Assuming a decline of 10% in market prices, the aggregate value of our marketable equity securities could decrease by $178 million, based on the fair value as of July 3, 2026.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the majority of our transactions are in U.S. dollars, some transactions are based in various foreign currencies. We have historically purchased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reduce the impact of foreign currency fluctuations on our results of operations. Substantially all of the contract maturity dates do not exceed twelve months. We do not purchase foreign exchange contracts for speculative or trading purposes.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have performed sensitivity analyses as of July 3, 2026,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July 3, 2026. The sensitivity analyses indicated that a hypothetical 10% adverse movement in </w:t>
      </w:r>
      <w:r>
        <w:rPr>
          <w:rFonts w:ascii="Times New Roman;serif" w:hAnsi="Times New Roman;serif"/>
          <w:b w:val="false"/>
          <w:color w:val="000000"/>
          <w:sz w:val="20"/>
          <w:shd w:fill="FFFFFF" w:val="clear"/>
        </w:rPr>
        <w:t xml:space="preserve">foreign currency exchange rates relative to the U.S. dollar would result in a foreign exchange fair value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$22 million at July 3,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2026, 2025 and 2024, total net realized and unrealized transaction and foreign exchange contract currency losses were $17 million, $29 million, and $4 million, respectively, to our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our efforts to mitigate some foreign exchange risks, we do not hedge all of our foreign currency exposures, and there can be no assurance that our mitigating activities related to the exposures that we do hedge will adequately protect us against risks associated with foreign currency fluctuations. Additionally, the overall effectiveness of our historical hedging strategy is dependent on business, market and global economic conditions. We have revised, and may continue to alter, our hedging program and may choose to discontinue our hedging activities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8.    </w:t>
      </w:r>
      <w:r>
        <w:rPr>
          <w:rFonts w:ascii="Times New Roman;serif" w:hAnsi="Times New Roman;serif"/>
          <w:b/>
          <w:i/>
          <w:color w:val="000000"/>
          <w:sz w:val="20"/>
        </w:rPr>
        <w:t>Financial Statements and Supplementary Data</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Index to Financial Statements</w:t>
      </w:r>
    </w:p>
    <w:tbl>
      <w:tblPr>
        <w:tblW w:w="10205" w:type="dxa"/>
        <w:jc w:val="left"/>
        <w:tblInd w:w="0" w:type="dxa"/>
        <w:tblLayout w:type="fixed"/>
        <w:tblCellMar>
          <w:top w:w="28" w:type="dxa"/>
          <w:left w:w="28" w:type="dxa"/>
          <w:bottom w:w="28" w:type="dxa"/>
          <w:right w:w="28" w:type="dxa"/>
        </w:tblCellMar>
      </w:tblPr>
      <w:tblGrid>
        <w:gridCol w:w="3343"/>
        <w:gridCol w:w="2929"/>
        <w:gridCol w:w="2934"/>
        <w:gridCol w:w="291"/>
        <w:gridCol w:w="291"/>
        <w:gridCol w:w="417"/>
      </w:tblGrid>
      <w:tr>
        <w:trPr/>
        <w:tc>
          <w:tcPr>
            <w:tcW w:w="3343"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9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(Auditor Firm ID: 185)</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67">
              <w:r>
                <w:rPr>
                  <w:rStyle w:val="InternetLink"/>
                  <w:rFonts w:ascii="Times New Roman;serif" w:hAnsi="Times New Roman;serif"/>
                  <w:b w:val="false"/>
                  <w:strike w:val="false"/>
                  <w:dstrike w:val="false"/>
                  <w:color w:val="0000FF"/>
                  <w:sz w:val="20"/>
                  <w:u w:val="none"/>
                  <w:effect w:val="none"/>
                </w:rPr>
                <w:t>56</w:t>
              </w:r>
            </w:hyperlink>
          </w:p>
        </w:tc>
      </w:tr>
      <w:tr>
        <w:trPr/>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As of July 3, 2026 and June 27, 2025</w:t>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70">
              <w:r>
                <w:rPr>
                  <w:rStyle w:val="InternetLink"/>
                  <w:rFonts w:ascii="Times New Roman;serif" w:hAnsi="Times New Roman;serif"/>
                  <w:b w:val="false"/>
                  <w:strike w:val="false"/>
                  <w:dstrike w:val="false"/>
                  <w:color w:val="0000FF"/>
                  <w:sz w:val="20"/>
                  <w:u w:val="none"/>
                  <w:effect w:val="none"/>
                </w:rPr>
                <w:t>58</w:t>
              </w:r>
            </w:hyperlink>
          </w:p>
        </w:tc>
      </w:tr>
      <w:tr>
        <w:trPr/>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Years Ended July 3, 2026, June 27, 2025, and June 28, 2024</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73">
              <w:r>
                <w:rPr>
                  <w:rStyle w:val="InternetLink"/>
                  <w:rFonts w:ascii="Times New Roman;serif" w:hAnsi="Times New Roman;serif"/>
                  <w:b w:val="false"/>
                  <w:strike w:val="false"/>
                  <w:dstrike w:val="false"/>
                  <w:color w:val="0000FF"/>
                  <w:sz w:val="20"/>
                  <w:u w:val="none"/>
                  <w:effect w:val="none"/>
                </w:rPr>
                <w:t>59</w:t>
              </w:r>
            </w:hyperlink>
          </w:p>
        </w:tc>
      </w:tr>
      <w:tr>
        <w:trPr/>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 Three Years Ended July 3, 2026, June 27, 2025, and June 28, 2024</w:t>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76">
              <w:r>
                <w:rPr>
                  <w:rStyle w:val="InternetLink"/>
                  <w:rFonts w:ascii="Times New Roman;serif" w:hAnsi="Times New Roman;serif"/>
                  <w:b w:val="false"/>
                  <w:strike w:val="false"/>
                  <w:dstrike w:val="false"/>
                  <w:color w:val="0000FF"/>
                  <w:sz w:val="20"/>
                  <w:u w:val="none"/>
                  <w:effect w:val="none"/>
                </w:rPr>
                <w:t>60</w:t>
              </w:r>
            </w:hyperlink>
          </w:p>
        </w:tc>
      </w:tr>
      <w:tr>
        <w:trPr/>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Three Years Ended July 3, 2026, June 27, 2025, and June 28, 2024</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79">
              <w:r>
                <w:rPr>
                  <w:rStyle w:val="InternetLink"/>
                  <w:rFonts w:ascii="Times New Roman;serif" w:hAnsi="Times New Roman;serif"/>
                  <w:b w:val="false"/>
                  <w:strike w:val="false"/>
                  <w:dstrike w:val="false"/>
                  <w:color w:val="0000FF"/>
                  <w:sz w:val="20"/>
                  <w:u w:val="none"/>
                  <w:effect w:val="none"/>
                </w:rPr>
                <w:t>61</w:t>
              </w:r>
            </w:hyperlink>
          </w:p>
        </w:tc>
      </w:tr>
      <w:tr>
        <w:trPr/>
        <w:tc>
          <w:tcPr>
            <w:tcW w:w="9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 Three Years Ended July 3, 2026, June 27, 2025, and June 28, 2024</w:t>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82">
              <w:r>
                <w:rPr>
                  <w:rStyle w:val="InternetLink"/>
                  <w:rFonts w:ascii="Times New Roman;serif" w:hAnsi="Times New Roman;serif"/>
                  <w:b w:val="false"/>
                  <w:strike w:val="false"/>
                  <w:dstrike w:val="false"/>
                  <w:color w:val="0000FF"/>
                  <w:sz w:val="20"/>
                  <w:u w:val="none"/>
                  <w:effect w:val="none"/>
                </w:rPr>
                <w:t>62</w:t>
              </w:r>
            </w:hyperlink>
          </w:p>
        </w:tc>
      </w:tr>
      <w:tr>
        <w:trPr/>
        <w:tc>
          <w:tcPr>
            <w:tcW w:w="9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a9edf1527e7c49eabe2559a1e017a94c_85">
              <w:r>
                <w:rPr>
                  <w:rStyle w:val="InternetLink"/>
                  <w:rFonts w:ascii="Times New Roman;serif" w:hAnsi="Times New Roman;serif"/>
                  <w:b w:val="false"/>
                  <w:strike w:val="false"/>
                  <w:dstrike w:val="false"/>
                  <w:color w:val="0000FF"/>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Sandisk Corporation: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Sandisk Corporation and subsidiaries (the Company) as of July 3, 2026 and June 27, 2025, the related consolidated statements of operations, comprehensive income (loss), shareholders’ equity, and cash flows for each of the years in the three-year period ended July 3, 2026, and the related notes (collectively, the consolidated financial statements). We also have audited the Company’s internal control over financial reporting as of July 3, 2026, based on criteria established in Internal Control – Integrated Framework (2013) issued by the Committee of Sponsoring Organizations of the Treadway Commission.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July 3, 2026 and June 27, 2025, and the results of its operations and its cash flows for each of the years in the three-year period ended July 3, 2026, in conformity with U.S. generally accepted accounting principles. Also in our opinion, the Company maintained, in all material respects, effective internal control over financial reporting as of July 3, 2026 based on criteria established in Internal Control – Integrated Framework (2013) issued by the Committee of Sponsoring Organizations of the Treadway Commission.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Sufficiency of audit evidence over revenue, 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substantially all of the Company’s revenue is derived from the sale of tangible products for which the performance obligations are satisfied at a point in time, generally upon delivery in accordance with the shipping terms of the arrangement. The Company’s processing and recording revenue is reliant upon the Company’s information technology (IT) system. The Company recorded revenue, net, of $20,248 million for the year ended July 3,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the sufficiency of audit evidence over revenue, net, as a critical audit matter. Evaluating the sufficiency of audit evidence required subjective auditor judgment due to the highly automated nature to capture and process revenue data throughout various IT applications. Involvement of IT professionals with specialized skills and knowledge were required to evaluate the nature and extent of evidence obtained over revenue, 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applied auditor judgment to determine the nature and extent of procedures to be performed over revenue, net. For revenue, net, we involved IT professionals with specialized skills and knowledge, who assisted in evaluating the design and tested the operating effectiveness of certain general IT and application controls related to the Company’s automated revenue recognition process, including recording of revenue. We performed a software-assisted data analysis to test relationships among certain revenue transactions. In addition, for a sample of revenue transactions, we compared the amounts recognized for consistency with underlying documentation, such as contracts, shipping documents, or other third-party evidence. We evaluated the sufficiency of audit evidence obtained by assessing the results of procedures performed, including the appropriateness of the nature and extent of such evidence.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Santa Clara, California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August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left"/>
        <w:tblInd w:w="0" w:type="dxa"/>
        <w:tblLayout w:type="fixed"/>
        <w:tblCellMar>
          <w:top w:w="28" w:type="dxa"/>
          <w:left w:w="28" w:type="dxa"/>
          <w:bottom w:w="28" w:type="dxa"/>
          <w:right w:w="28" w:type="dxa"/>
        </w:tblCellMar>
      </w:tblPr>
      <w:tblGrid>
        <w:gridCol w:w="2973"/>
        <w:gridCol w:w="2482"/>
        <w:gridCol w:w="2474"/>
        <w:gridCol w:w="196"/>
        <w:gridCol w:w="646"/>
        <w:gridCol w:w="109"/>
        <w:gridCol w:w="109"/>
        <w:gridCol w:w="109"/>
        <w:gridCol w:w="109"/>
        <w:gridCol w:w="196"/>
        <w:gridCol w:w="646"/>
        <w:gridCol w:w="156"/>
      </w:tblGrid>
      <w:tr>
        <w:trPr/>
        <w:tc>
          <w:tcPr>
            <w:tcW w:w="2973"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and investments in Flash Ventures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SHAREHOLDERS’ EQUITY</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Refund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10, 11, 14 and 15)</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 450 shares; issued — 149 shares and outstanding — 146 shares (issued and outstanding as of June 27, 2025 — 146 shares)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6776" w:type="dxa"/>
        <w:jc w:val="left"/>
        <w:tblInd w:w="0" w:type="dxa"/>
        <w:tblLayout w:type="fixed"/>
        <w:tblCellMar>
          <w:top w:w="28" w:type="dxa"/>
          <w:left w:w="28" w:type="dxa"/>
          <w:bottom w:w="28" w:type="dxa"/>
          <w:right w:w="28" w:type="dxa"/>
        </w:tblCellMar>
      </w:tblPr>
      <w:tblGrid>
        <w:gridCol w:w="1207"/>
        <w:gridCol w:w="1057"/>
        <w:gridCol w:w="1065"/>
        <w:gridCol w:w="196"/>
        <w:gridCol w:w="646"/>
        <w:gridCol w:w="109"/>
        <w:gridCol w:w="109"/>
        <w:gridCol w:w="109"/>
        <w:gridCol w:w="109"/>
        <w:gridCol w:w="196"/>
        <w:gridCol w:w="631"/>
        <w:gridCol w:w="109"/>
        <w:gridCol w:w="109"/>
        <w:gridCol w:w="109"/>
        <w:gridCol w:w="109"/>
        <w:gridCol w:w="196"/>
        <w:gridCol w:w="55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separation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business divestiture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 net: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SANDISK CORPORATION</w:t>
      </w:r>
      <w:r>
        <w:rPr>
          <w:color w:val="000000"/>
          <w:shd w:fill="FFFFFF" w:val="clear"/>
        </w:rPr>
        <w:t xml:space="preserve"> </w:t>
      </w:r>
    </w:p>
    <w:p>
      <w:pPr>
        <w:pStyle w:val="TextBody"/>
        <w:bidi w:val="0"/>
        <w:spacing w:lineRule="auto" w:line="288" w:before="0" w:after="0"/>
        <w:jc w:val="center"/>
        <w:rPr/>
      </w:pPr>
      <w:r>
        <w:rPr>
          <w:rFonts w:ascii="Times New Roman;serif" w:hAnsi="Times New Roman;serif"/>
          <w:b/>
          <w:color w:val="000000"/>
          <w:sz w:val="20"/>
          <w:shd w:fill="FFFFFF" w:val="clear"/>
        </w:rPr>
        <w:t>CONSOLIDATED STATEMENTS OF COMPREHENSIVE INCOME</w:t>
      </w:r>
      <w:r>
        <w:rPr>
          <w:color w:val="000000"/>
        </w:rPr>
        <w:t xml:space="preserve"> </w:t>
      </w:r>
      <w:r>
        <w:rPr>
          <w:rFonts w:ascii="Times New Roman;serif" w:hAnsi="Times New Roman;serif"/>
          <w:b/>
          <w:color w:val="000000"/>
          <w:sz w:val="20"/>
        </w:rPr>
        <w:t xml:space="preserve">(LOSS)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398"/>
        <w:gridCol w:w="2104"/>
        <w:gridCol w:w="2102"/>
        <w:gridCol w:w="211"/>
        <w:gridCol w:w="721"/>
        <w:gridCol w:w="109"/>
        <w:gridCol w:w="109"/>
        <w:gridCol w:w="109"/>
        <w:gridCol w:w="109"/>
        <w:gridCol w:w="211"/>
        <w:gridCol w:w="684"/>
        <w:gridCol w:w="109"/>
        <w:gridCol w:w="109"/>
        <w:gridCol w:w="109"/>
        <w:gridCol w:w="109"/>
        <w:gridCol w:w="211"/>
        <w:gridCol w:w="534"/>
        <w:gridCol w:w="157"/>
      </w:tblGrid>
      <w:tr>
        <w:trPr/>
        <w:tc>
          <w:tcPr>
            <w:tcW w:w="23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6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before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related to items of other comprehensive income, before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SANDISK CORPORATION</w:t>
      </w:r>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9491" w:type="dxa"/>
        <w:jc w:val="center"/>
        <w:tblInd w:w="0" w:type="dxa"/>
        <w:tblLayout w:type="fixed"/>
        <w:tblCellMar>
          <w:top w:w="28" w:type="dxa"/>
          <w:left w:w="28" w:type="dxa"/>
          <w:bottom w:w="28" w:type="dxa"/>
          <w:right w:w="28" w:type="dxa"/>
        </w:tblCellMar>
      </w:tblPr>
      <w:tblGrid>
        <w:gridCol w:w="2211"/>
        <w:gridCol w:w="1939"/>
        <w:gridCol w:w="1954"/>
        <w:gridCol w:w="196"/>
        <w:gridCol w:w="646"/>
        <w:gridCol w:w="109"/>
        <w:gridCol w:w="109"/>
        <w:gridCol w:w="109"/>
        <w:gridCol w:w="109"/>
        <w:gridCol w:w="196"/>
        <w:gridCol w:w="631"/>
        <w:gridCol w:w="109"/>
        <w:gridCol w:w="109"/>
        <w:gridCol w:w="109"/>
        <w:gridCol w:w="109"/>
        <w:gridCol w:w="196"/>
        <w:gridCol w:w="496"/>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2024</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business divestiture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discounts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loss in investees, net of dividends received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accrued interest on Notes due to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operating activities,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Refund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dispositions of business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issuances to Flash Ventures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proceeds from Flash Ventures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Flash Ventures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 and 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under employee stock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on vested stock awards under employee stock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Notes due to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principal repayments on Notes due from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principal on Notes due to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from (to)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Notes due from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year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for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purchases of long-lived assets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taxes relating to vested stock awards and repurchases of common stock</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transfers of:</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due to (from)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 from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of equity interest in Unis Venture from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from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balances from (to) Western Digital Corporation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indemnification liability to Western Digital Corporation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SHAREHOLDERS’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11918" w:type="dxa"/>
        <w:jc w:val="center"/>
        <w:tblInd w:w="0" w:type="dxa"/>
        <w:tblLayout w:type="fixed"/>
        <w:tblCellMar>
          <w:top w:w="28" w:type="dxa"/>
          <w:left w:w="28" w:type="dxa"/>
          <w:bottom w:w="28" w:type="dxa"/>
          <w:right w:w="28" w:type="dxa"/>
        </w:tblCellMar>
      </w:tblPr>
      <w:tblGrid>
        <w:gridCol w:w="760"/>
        <w:gridCol w:w="220"/>
        <w:gridCol w:w="221"/>
        <w:gridCol w:w="210"/>
        <w:gridCol w:w="211"/>
        <w:gridCol w:w="196"/>
        <w:gridCol w:w="109"/>
        <w:gridCol w:w="109"/>
        <w:gridCol w:w="109"/>
        <w:gridCol w:w="196"/>
        <w:gridCol w:w="406"/>
        <w:gridCol w:w="109"/>
        <w:gridCol w:w="109"/>
        <w:gridCol w:w="109"/>
        <w:gridCol w:w="109"/>
        <w:gridCol w:w="203"/>
        <w:gridCol w:w="203"/>
        <w:gridCol w:w="196"/>
        <w:gridCol w:w="109"/>
        <w:gridCol w:w="109"/>
        <w:gridCol w:w="109"/>
        <w:gridCol w:w="196"/>
        <w:gridCol w:w="571"/>
        <w:gridCol w:w="109"/>
        <w:gridCol w:w="109"/>
        <w:gridCol w:w="109"/>
        <w:gridCol w:w="109"/>
        <w:gridCol w:w="196"/>
        <w:gridCol w:w="646"/>
        <w:gridCol w:w="109"/>
        <w:gridCol w:w="109"/>
        <w:gridCol w:w="109"/>
        <w:gridCol w:w="109"/>
        <w:gridCol w:w="252"/>
        <w:gridCol w:w="717"/>
        <w:gridCol w:w="142"/>
        <w:gridCol w:w="109"/>
        <w:gridCol w:w="109"/>
        <w:gridCol w:w="109"/>
        <w:gridCol w:w="321"/>
        <w:gridCol w:w="715"/>
        <w:gridCol w:w="180"/>
        <w:gridCol w:w="109"/>
        <w:gridCol w:w="109"/>
        <w:gridCol w:w="109"/>
        <w:gridCol w:w="210"/>
        <w:gridCol w:w="693"/>
        <w:gridCol w:w="118"/>
        <w:gridCol w:w="109"/>
        <w:gridCol w:w="109"/>
        <w:gridCol w:w="109"/>
        <w:gridCol w:w="196"/>
        <w:gridCol w:w="64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 from Western Digital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2023</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28, 2024</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to Western Digital Corporation, including spin-off-related adjustments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reclassification of net transfers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27, 2025</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3, 2026</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9,649 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    Organization, Basis of Presentation and Summary of Significant Accounting Policies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Description of the Company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Sandisk Corporation (“Sandisk”, or the “Company”) is a leading global semiconductor memory company with more than 30 years of innovation in NAND flash technology. Sandisk is a vertically integrated solutions provider with ownership of chip-level design and IP, front and back-end manufacturing, as well as systems engineering and design. Sandisk’s broad and ever-expanding portfolio delivers powerful flash storage solutions for artificial intelligence (“AI”) workloads in datacenters, edge devices, and consumer applications. Sandisk’s technologies enable everyone from students, gamers, and home offices to the largest enterprises and public clouds to produce, analyze, and store data. The Company’s solutions include a broad range of solid-state drives, embedded products, removable cards, universal serial bus drives and wafers and components. The Company’s broad portfolio of technology and products addresses multiple end markets of “Datacenter” (formerly referred to as “Cloud”), “Edge” (formerly referred to as “Client”), and “Consumer.” The Company operates primarily in the United States (“U.S.”), and also internationally, with a significant concentration in the Asia Pacific region.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2023, Western Digital Corporation (“WDC”) announced that its board of directors (the “WDC Board of Directors”) authorized WDC management to pursue a plan to separate the Company into an independent public company (the “separation” or the “spin-off”). The separation received final approval by the WDC Board of Directors and was completed on February 21, 2025. Prior to February 21, 2025, the Company was wholly owned by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WDC executed the spin-off of the Company through WDC’s pro rata distribution of 116,035,464, or 80.1%, of the Company’s outstanding shares of common stock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28,827,787, or 19.9%, of the outstanding shares of the Company’s common stock. Following the distribution, the Company became an independent publicly listed company, and on February 24, 2025, the Company began trading as an independent, publicly traded company under the stock symbol “SNDK” on Nasdaq.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connection with the separation, on February 21, 2025, the Company entered into definitive agreements with WDC that set forth the terms and conditions of the spin-off and provided a framework for the relationship between WDC and the Company following the separation. These agreements include the </w:t>
      </w:r>
      <w:r>
        <w:rPr>
          <w:rFonts w:ascii="Times New Roman;serif" w:hAnsi="Times New Roman;serif"/>
          <w:b w:val="false"/>
          <w:color w:val="000000"/>
          <w:sz w:val="20"/>
          <w:shd w:fill="FFFFFF" w:val="clear"/>
        </w:rPr>
        <w:t>Separation and Distribution Agreement, which contains certain key provisions related to the spin-off, as well as a Transition Services Agreement (the “TSA”), a Tax Matters Agreement, an Employee Matters Agreement, an Intellectual Property Cross-License Agreement, a Transitional Trademark License Agreement, and a Stockholder and Registration Rights Agreement</w:t>
      </w:r>
      <w:r>
        <w:rPr>
          <w:rFonts w:ascii="Times New Roman;serif" w:hAnsi="Times New Roman;serif"/>
          <w:b w:val="false"/>
          <w:color w:val="000000"/>
          <w:sz w:val="20"/>
        </w:rPr>
        <w:t>, as described in and filed as Exhibits to the Company’s Current Report on Form 8-K on February 24, 2025, and incorporated by reference to this Annual Report on Form 10-K. Additionally, the Company adopted certain compensation plans filed as Exhibits to the Company’s Registration Statement on Form 10, initially filed with the U.S. Securities and Exchange Commission (“SEC”) on November 25, 2024, and as further amended thereafter and declared effective on January 31, 2025 (as amended, the “Form 10”). The Company also entered into various sublease agreements and established a stock compensation incentive plan in connection with the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Also on February 21, 2025, in connection with the separation, the Company entered into a $1.5 billion revolving credit facility that remains undrawn to date, and a $2.0 billion term loan facility which was due in 2032. The Company used a portion of the proceeds received from the term loan facility and cash on hand to make a net distribution payment of</w:t>
      </w:r>
      <w:r>
        <w:rPr>
          <w:color w:val="000000"/>
          <w:shd w:fill="FFFFFF" w:val="clear"/>
        </w:rPr>
        <w:t xml:space="preserve"> </w:t>
      </w:r>
      <w:r>
        <w:rPr>
          <w:rFonts w:ascii="Times New Roman;serif" w:hAnsi="Times New Roman;serif"/>
          <w:b w:val="false"/>
          <w:color w:val="000000"/>
          <w:sz w:val="20"/>
        </w:rPr>
        <w:t xml:space="preserve">$1.5 billion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WDC in exchange for assets, liabilities, and certain legal entities of WDC associated with the Company. The remaining outstanding balance of the Company’s term loan facility was repaid in full on March 4,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separation, outstanding restricted stock units (“RSU”) and performance stock units (“PSU”) previously granted by WDC to employees of the Company were adjusted per the terms of the Employee Matters Agreement, in an attempt to maintain the economic value of those awards before and after the separation. Generally, continuing Sandisk employees with outstanding RSU awards held as of the spin-off date were converted solely to equivalent RSU awards of the Company, and any outstanding WDC RSU awards held as of the spin-off date were canceled. Outstanding RSU and PSU awards at the time of the spin-off, held by employees at levels equal to Vice President and above, were converted into RSU and PSU awards of both the Company and WDC.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2025, WDC disposed of 21,314,768, or 14.6%, of the Company’s common stock through an exchange of Sandisk’s common stock for WDC debt held by WDC creditors, which shares were sold by affiliates of the WDC creditors in a registered public offering by the Company. On February 18, 2026, WDC disposed of an additional 5,821,135 outstanding shares of the Company through an exchange of Sandisk’s common stock for WDC debt held by WDC creditors, which shares were sold by affiliates of the WDC creditors in a registered public offering by the Company. All expenses for these offerings were paid for by the Company. Following this transaction, WDC held 1,691,884 of the outstanding shares of the Company’s common stock and, as of March 19, 2026, the sale of such shares was no longer subject to restriction, and we were no longer required to pay any expenses associated with WDC’s eventual exchange or distribution of our shares.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the Company became a standalone publicly-traded company, and the Company’s financial statements are now presented on a consolidated basis. Prior to the separation, the Company’s historical consolidated financial information was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 and the policies and practices that are generally accepted in the industry in which it operates.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Certain prior period presentations in the Consolidated Financial Statements have been reclassified to conform to the current period presentation. Contract liabilities (previously presented within Accrued expenses), Refund liability (previously presented within Accrued expenses), and Income tax payable, non-current (previously presented within Other liabilities) were reclassified and presented as separate line items in the Consolidated Financial Statements. The prior period presentation in Part II, Item 8., Note 9, </w:t>
      </w:r>
      <w:r>
        <w:rPr>
          <w:rFonts w:ascii="Times New Roman;serif" w:hAnsi="Times New Roman;serif"/>
          <w:b w:val="false"/>
          <w:i/>
          <w:color w:val="000000"/>
          <w:sz w:val="20"/>
        </w:rPr>
        <w:t>Segment Reporting</w:t>
      </w:r>
      <w:r>
        <w:rPr>
          <w:rFonts w:ascii="Times New Roman;serif" w:hAnsi="Times New Roman;serif"/>
          <w:b w:val="false"/>
          <w:color w:val="000000"/>
          <w:sz w:val="20"/>
        </w:rPr>
        <w:t>, was also reclassified to conform with current period presentation. These changes in presentation do not affect any previously reported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wholly-owned subsidiaries. All intercompany accounts and transactions have been eliminated in the preparation of the Consolidated Financial Statements. The accounts of these foreign subsidiaries have been remeasured using the U.S. dollar as the functional currency. Gains or losses resulting from the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loss, a component of shareholders’ equity.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otherwise noted, all figures within the Consolidated Financial Statements are stated in U.S. dollars and millions.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Periods Prior to the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Prior to the separation on February 21, 2025, the Company was an operating segment of WDC. Consequently, standalone financial statements were not historically prepared for the Company and instead were</w:t>
      </w:r>
      <w:r>
        <w:rPr>
          <w:color w:val="000000"/>
          <w:shd w:fill="FFFFFF" w:val="clear"/>
        </w:rPr>
        <w:t xml:space="preserve"> </w:t>
      </w:r>
      <w:r>
        <w:rPr>
          <w:rFonts w:ascii="Times New Roman;serif" w:hAnsi="Times New Roman;serif"/>
          <w:b w:val="false"/>
          <w:color w:val="000000"/>
          <w:sz w:val="20"/>
          <w:shd w:fill="FFFFFF" w:val="clear"/>
        </w:rPr>
        <w:t>prepared based upon WDC’s historical consolidated financial statements and accounting records. They were presented on a standalone basis as if the Company’s operations had been conducted independently from WD</w:t>
      </w:r>
      <w:r>
        <w:rPr>
          <w:rFonts w:ascii="Times New Roman;serif" w:hAnsi="Times New Roman;serif"/>
          <w:b w:val="false"/>
          <w:color w:val="000000"/>
          <w:sz w:val="20"/>
        </w:rPr>
        <w:t xml:space="preserve">C. The Company utilized allocations and carve-out methodologies to prepare these historical Consolidated Financial Statements. </w:t>
      </w:r>
      <w:r>
        <w:rPr>
          <w:rFonts w:ascii="Times New Roman;serif" w:hAnsi="Times New Roman;serif"/>
          <w:b w:val="false"/>
          <w:color w:val="000000"/>
          <w:sz w:val="20"/>
          <w:shd w:fill="FFFFFF" w:val="clear"/>
        </w:rPr>
        <w:t>The Consolidated Financial Statements included the historical results of operations, financial position, and cash flows of the Company and were prepared in accordance with GAAP, and the Company has adopted accounting policies and practices generally accepted in the industry in which it operates.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Intercompany transactions were eliminated, with the exception of balances associated with lending arrangements reflected within Notes due to (from) </w:t>
      </w:r>
      <w:r>
        <w:rPr>
          <w:rFonts w:ascii="Times New Roman;serif" w:hAnsi="Times New Roman;serif"/>
          <w:b w:val="false"/>
          <w:color w:val="000000"/>
          <w:sz w:val="20"/>
        </w:rPr>
        <w:t>Western Digital Corporation</w:t>
      </w:r>
      <w:r>
        <w:rPr>
          <w:color w:val="000000"/>
          <w:shd w:fill="FFFFFF" w:val="clear"/>
        </w:rPr>
        <w:t xml:space="preserve"> </w:t>
      </w:r>
      <w:r>
        <w:rPr>
          <w:rFonts w:ascii="Times New Roman;serif" w:hAnsi="Times New Roman;serif"/>
          <w:b w:val="false"/>
          <w:color w:val="000000"/>
          <w:sz w:val="20"/>
          <w:shd w:fill="FFFFFF" w:val="clear"/>
        </w:rPr>
        <w:t>in the Consolidated Balance Sheets, and transactions between the Company and WDC were generally considered to be effectively settled in the Consolidated Financial Statements at the time the transactions were recorded. The total net effect of the settlement of these transactions was reflected in the Consolidated Statements of Cash Flows as a financing activity and in the Consolidated Balance Sheets as Net investment from Western Digital Corporation. General financing activities included the net impact of any cash movements resulting from WDC’s centralized treasury cash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Consolidated Balance Sheets included all assets and liabilities that were identifiable or otherwise attributable to the Company. Assets and liabilities shared between the Company and WDC were included in the standalone financial statements to the extent that the asset was primarily used by the Company. If the Company was not the primary user of the asset, it was excluded entirely from the Consolidated Financial Statements. WDC historically used a centralized approach to cash management and the financing of its operations, as needed. Certain of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cash was transferred to WDC according to centrally managed cash programs by treasury, and WDC funded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operating and investing activities, as needed. Cash transfers to and from WDC’s cash management accounts were reflected as a component of the Net investment from </w:t>
      </w:r>
      <w:r>
        <w:rPr>
          <w:rFonts w:ascii="Times New Roman;serif" w:hAnsi="Times New Roman;serif"/>
          <w:b w:val="false"/>
          <w:color w:val="000000"/>
          <w:sz w:val="20"/>
        </w:rPr>
        <w:t>Western Digital Corporation</w:t>
      </w:r>
      <w:r>
        <w:rPr>
          <w:color w:val="000000"/>
          <w:shd w:fill="FFFFFF" w:val="clear"/>
        </w:rPr>
        <w:t xml:space="preserve"> </w:t>
      </w:r>
      <w:r>
        <w:rPr>
          <w:rFonts w:ascii="Times New Roman;serif" w:hAnsi="Times New Roman;serif"/>
          <w:b w:val="false"/>
          <w:color w:val="000000"/>
          <w:sz w:val="20"/>
          <w:shd w:fill="FFFFFF" w:val="clear"/>
        </w:rPr>
        <w:t xml:space="preserve">in the Consolidated Balance Sheets. Cash and cash equivalents in </w:t>
      </w:r>
      <w:r>
        <w:rPr>
          <w:rFonts w:ascii="Times New Roman;serif" w:hAnsi="Times New Roman;serif"/>
          <w:b w:val="false"/>
          <w:color w:val="000000"/>
          <w:sz w:val="20"/>
        </w:rPr>
        <w:t xml:space="preserve">the Company’s </w:t>
      </w:r>
      <w:r>
        <w:rPr>
          <w:rFonts w:ascii="Times New Roman;serif" w:hAnsi="Times New Roman;serif"/>
          <w:b w:val="false"/>
          <w:color w:val="000000"/>
          <w:sz w:val="20"/>
          <w:shd w:fill="FFFFFF" w:val="clear"/>
        </w:rPr>
        <w:t xml:space="preserve">Consolidated Balance Sheets and Consolidated Statements of Cash Flows primarily represented cash held locally by entities included in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 of the debt obligations of WDC or corresponding interest expense were included in the Consolidated Financial Statements, as the Company was neither the legal obligor nor transferee for any portion of such debt. WDC’s debt obligations were secured by a lien on substantially all assets and properties of WDC and certain key subsidiaries, which included assets and properties of the Company prior to the completion of the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Consolidated Statements of Operations and Comprehensive Income (Loss) for the fiscal year ended </w:t>
      </w:r>
      <w:r>
        <w:rPr>
          <w:rFonts w:ascii="Times New Roman;serif" w:hAnsi="Times New Roman;serif"/>
          <w:b w:val="false"/>
          <w:color w:val="000000"/>
          <w:sz w:val="20"/>
        </w:rPr>
        <w:t>June 28, 2024</w:t>
      </w:r>
      <w:r>
        <w:rPr>
          <w:color w:val="000000"/>
          <w:shd w:fill="FFFFFF" w:val="clear"/>
        </w:rPr>
        <w:t xml:space="preserve"> </w:t>
      </w:r>
      <w:r>
        <w:rPr>
          <w:rFonts w:ascii="Times New Roman;serif" w:hAnsi="Times New Roman;serif"/>
          <w:b w:val="false"/>
          <w:color w:val="000000"/>
          <w:sz w:val="20"/>
          <w:shd w:fill="FFFFFF" w:val="clear"/>
        </w:rPr>
        <w:t xml:space="preserve">until the separation 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included all revenues and costs directly attributable to the Company as well as an allocation of expenses related to facilities, functions, and services provided by WDC. Allocation of general corporate expenses from WDC included, but was not limited to,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The allocated costs were deemed to be settled between the Company and WDC in the period in which the expense was recorded in the Consolidated Statements of Operations. The Consolidated Statements of Cash Flows present these corporate expenses as cash flows from operating activities, as these costs were incurred by WDC on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behalf. The Company considers these allocations to be a reasonable reflection of the utilization of services by, or the benefits provided to, the Company. The allocations may not, however, reflect the expenses the Company would have incurred as a standalone company for the periods presented. Additionally, these costs may not be indicative of the expenses that the Company will incur in the future or would have incurred if the Company had obtained these services from an unrelated third party. It is not practicable to estimate the actual costs that would have been incurred had the Company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WDC maintains various stock-based compensation plans at a corporate level. Employees of the Company participated in those programs, and a portion of the compensation costs associated with those plans was included in the Company’s Consolidated Statements of Operations for the periods presented in this Annual Report on Form 10-K. Before the spin-off, stock-based compensation expense was included within Net investment from </w:t>
      </w:r>
      <w:r>
        <w:rPr>
          <w:rFonts w:ascii="Times New Roman;serif" w:hAnsi="Times New Roman;serif"/>
          <w:b w:val="false"/>
          <w:color w:val="000000"/>
          <w:sz w:val="20"/>
        </w:rPr>
        <w:t>Western Digital Corporation</w:t>
      </w:r>
      <w:r>
        <w:rPr>
          <w:rFonts w:ascii="Times New Roman;serif" w:hAnsi="Times New Roman;serif"/>
          <w:b w:val="false"/>
          <w:color w:val="000000"/>
          <w:sz w:val="20"/>
          <w:shd w:fill="FFFFFF" w:val="clear"/>
        </w:rPr>
        <w:t>. The amounts presented in the Consolidated Financial Statements are not necessarily indicative of future awards and may not reflect the results that the Company would have experienced as a standalone entity.</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and deferred income taxes and related tax expenses were determined based on the standalone results of the Company by applying Accounting Standards Codification (“ASC”) No. 740, Income Taxes, to the Company’s operations in each country as if it were a separate taxpayer (i.e., following the “Separate Return Methodology”).</w:t>
      </w:r>
    </w:p>
    <w:p>
      <w:pPr>
        <w:pStyle w:val="TextBody"/>
        <w:bidi w:val="0"/>
        <w:spacing w:lineRule="auto" w:line="288" w:before="0" w:after="120"/>
        <w:ind w:left="0" w:right="0" w:firstLine="180"/>
        <w:jc w:val="left"/>
        <w:rPr/>
      </w:pPr>
      <w:r>
        <w:rPr>
          <w:rFonts w:ascii="Times New Roman;serif" w:hAnsi="Times New Roman;serif"/>
          <w:b/>
          <w:i/>
          <w:color w:val="000000"/>
          <w:sz w:val="20"/>
          <w:shd w:fill="FFFFFF" w:val="clear"/>
        </w:rPr>
        <w:t>P</w:t>
      </w:r>
      <w:r>
        <w:rPr>
          <w:rFonts w:ascii="Times New Roman;serif" w:hAnsi="Times New Roman;serif"/>
          <w:b/>
          <w:i/>
          <w:color w:val="000000"/>
          <w:sz w:val="20"/>
        </w:rPr>
        <w:t>eriods Post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After the separation 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the Company’s financial statements for the period from February 22, 2025, through </w:t>
      </w:r>
      <w:r>
        <w:rPr>
          <w:rFonts w:ascii="Times New Roman;serif" w:hAnsi="Times New Roman;serif"/>
          <w:b w:val="false"/>
          <w:color w:val="000000"/>
          <w:sz w:val="20"/>
        </w:rPr>
        <w:t>July 3, 2026,</w:t>
      </w:r>
      <w:r>
        <w:rPr>
          <w:color w:val="000000"/>
          <w:shd w:fill="FFFFFF" w:val="clear"/>
        </w:rPr>
        <w:t xml:space="preserve"> </w:t>
      </w:r>
      <w:r>
        <w:rPr>
          <w:rFonts w:ascii="Times New Roman;serif" w:hAnsi="Times New Roman;serif"/>
          <w:b w:val="false"/>
          <w:color w:val="000000"/>
          <w:sz w:val="20"/>
          <w:shd w:fill="FFFFFF" w:val="clear"/>
        </w:rPr>
        <w:t>are consolidated financial statements based on the Company’s reported results as a standalone company. All transactions and accounts between controlled entities within the Company have been eliminated.</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Following the separation, certain functions continued to be provided by or for WDC for up to fifteen months under the TSA or have been performed using the Company</w:t>
      </w:r>
      <w:r>
        <w:rPr>
          <w:color w:val="000000"/>
        </w:rPr>
        <w:t>’</w:t>
      </w:r>
      <w:r>
        <w:rPr>
          <w:rFonts w:ascii="Times New Roman;serif" w:hAnsi="Times New Roman;serif"/>
          <w:b w:val="false"/>
          <w:color w:val="000000"/>
          <w:sz w:val="20"/>
          <w:shd w:fill="FFFFFF" w:val="clear"/>
        </w:rPr>
        <w:t xml:space="preserve">s own resources or third-party service providers. For the fiscal year ended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xml:space="preserve">, charges under the TSA were not material. The term of the TSA ended on </w:t>
      </w:r>
      <w:r>
        <w:rPr>
          <w:rFonts w:ascii="Times New Roman;serif" w:hAnsi="Times New Roman;serif"/>
          <w:b w:val="false"/>
          <w:color w:val="000000"/>
          <w:sz w:val="20"/>
        </w:rPr>
        <w:t xml:space="preserve">June 10,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Company’s fiscal year ends on the Friday nearest to June 30 and typically consists of </w:t>
      </w:r>
      <w:r>
        <w:rPr>
          <w:rFonts w:ascii="Times New Roman;serif" w:hAnsi="Times New Roman;serif"/>
          <w:b w:val="false"/>
          <w:color w:val="000000"/>
          <w:sz w:val="20"/>
        </w:rPr>
        <w:t>52</w:t>
      </w:r>
      <w:r>
        <w:rPr>
          <w:color w:val="000000"/>
          <w:shd w:fill="FFFFFF" w:val="clear"/>
        </w:rPr>
        <w:t xml:space="preserve"> </w:t>
      </w:r>
      <w:r>
        <w:rPr>
          <w:rFonts w:ascii="Times New Roman;serif" w:hAnsi="Times New Roman;serif"/>
          <w:b w:val="false"/>
          <w:color w:val="000000"/>
          <w:sz w:val="20"/>
          <w:shd w:fill="FFFFFF" w:val="clear"/>
        </w:rPr>
        <w:t xml:space="preserve">weeks. Approximately every five to six years, the Company reports a 53-week fiscal year to align the fiscal year with the foregoing policy. Fiscal years </w:t>
      </w:r>
      <w:r>
        <w:rPr>
          <w:rFonts w:ascii="Times New Roman;serif" w:hAnsi="Times New Roman;serif"/>
          <w:b w:val="false"/>
          <w:color w:val="000000"/>
          <w:sz w:val="20"/>
        </w:rPr>
        <w:t xml:space="preserve">2025 and 2024, </w:t>
      </w:r>
      <w:r>
        <w:rPr>
          <w:rFonts w:ascii="Times New Roman;serif" w:hAnsi="Times New Roman;serif"/>
          <w:b w:val="false"/>
          <w:color w:val="000000"/>
          <w:sz w:val="20"/>
          <w:shd w:fill="FFFFFF" w:val="clear"/>
        </w:rPr>
        <w:t xml:space="preserve">which ended on </w:t>
      </w:r>
      <w:r>
        <w:rPr>
          <w:rFonts w:ascii="Times New Roman;serif" w:hAnsi="Times New Roman;serif"/>
          <w:b w:val="false"/>
          <w:color w:val="000000"/>
          <w:sz w:val="20"/>
        </w:rPr>
        <w:t>June 27,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28, 2024,</w:t>
      </w:r>
      <w:r>
        <w:rPr>
          <w:color w:val="000000"/>
          <w:shd w:fill="FFFFFF" w:val="clear"/>
        </w:rPr>
        <w:t xml:space="preserve"> </w:t>
      </w:r>
      <w:r>
        <w:rPr>
          <w:rFonts w:ascii="Times New Roman;serif" w:hAnsi="Times New Roman;serif"/>
          <w:b w:val="false"/>
          <w:color w:val="000000"/>
          <w:sz w:val="20"/>
          <w:shd w:fill="FFFFFF" w:val="clear"/>
        </w:rPr>
        <w:t xml:space="preserve">respectively, were each comprised of </w:t>
      </w:r>
      <w:r>
        <w:rPr>
          <w:rFonts w:ascii="Times New Roman;serif" w:hAnsi="Times New Roman;serif"/>
          <w:b w:val="false"/>
          <w:color w:val="000000"/>
          <w:sz w:val="20"/>
        </w:rPr>
        <w:t>52</w:t>
      </w:r>
      <w:r>
        <w:rPr>
          <w:color w:val="000000"/>
          <w:shd w:fill="FFFFFF" w:val="clear"/>
        </w:rPr>
        <w:t xml:space="preserve"> </w:t>
      </w:r>
      <w:r>
        <w:rPr>
          <w:rFonts w:ascii="Times New Roman;serif" w:hAnsi="Times New Roman;serif"/>
          <w:b w:val="false"/>
          <w:color w:val="000000"/>
          <w:sz w:val="20"/>
          <w:shd w:fill="FFFFFF" w:val="clear"/>
        </w:rPr>
        <w:t xml:space="preserve">weeks, with each fiscal quarter consisting of </w:t>
      </w:r>
      <w:r>
        <w:rPr>
          <w:rFonts w:ascii="Times New Roman;serif" w:hAnsi="Times New Roman;serif"/>
          <w:b w:val="false"/>
          <w:color w:val="000000"/>
          <w:sz w:val="20"/>
        </w:rPr>
        <w:t>13</w:t>
      </w:r>
      <w:r>
        <w:rPr>
          <w:color w:val="000000"/>
          <w:shd w:fill="FFFFFF" w:val="clear"/>
        </w:rPr>
        <w:t xml:space="preserve"> </w:t>
      </w:r>
      <w:r>
        <w:rPr>
          <w:rFonts w:ascii="Times New Roman;serif" w:hAnsi="Times New Roman;serif"/>
          <w:b w:val="false"/>
          <w:color w:val="000000"/>
          <w:sz w:val="20"/>
          <w:shd w:fill="FFFFFF" w:val="clear"/>
        </w:rPr>
        <w:t xml:space="preserve">weeks. </w:t>
      </w:r>
      <w:r>
        <w:rPr>
          <w:rFonts w:ascii="Times New Roman;serif" w:hAnsi="Times New Roman;serif"/>
          <w:b w:val="false"/>
          <w:color w:val="000000"/>
          <w:sz w:val="20"/>
        </w:rPr>
        <w:t xml:space="preserve">Fiscal year 2026 was comprised of 53 weeks and ended on July 3, 2026, with the first fiscal quarter consisting of 14 weeks. </w:t>
      </w:r>
      <w:r>
        <w:rPr>
          <w:rFonts w:ascii="Times New Roman;serif" w:hAnsi="Times New Roman;serif"/>
          <w:b w:val="false"/>
          <w:color w:val="000000"/>
          <w:sz w:val="20"/>
          <w:shd w:fill="FFFFFF" w:val="clear"/>
        </w:rPr>
        <w:t>Unless otherwise indicated or the context requires, references herein to specific years and quarters are to fiscal years and fiscal quarters, and references to financial information are on a consolidated basis.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develops, manufactures, markets, and sells data storage devices and solutions based on NAND flash technology in the U.S. and in foreign countries through its sales personnel, dealers, distributors, retailers, and subsidiaries. The Company manages and reports its business operations under a single reportable operating segment. Operating segments are components of an enterprise for which separate financial information is available and are evaluated regularly by the Company’s Chief Operating Decision Maker (“CODM”) in deciding how to allocate resources and in assessing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Chief Executive Officer, who is the CODM, evaluates the performance of the Company and makes resource allocation decisions for its single reportable operating segment based upon the Company’s consolidated operating income (loss) and net income (loss). The CODM considers variances of actual performance to forecasted amounts of these profit measures when making decisions. Asset information is not used by the CODM to evaluate performance or allocate resources.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has made estimates and assumptions relating to the reporting of certain assets and liabilities in conformity with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Business Separation Costs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incurred separation and transition costs related to the completion of its separation from WDC. The separation and transition costs are recorded in Business separation costs in the Consolidated Statements of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equivalents represent highly liquid investments in money market funds, which are invested in U.S. Treasury securities and U.S. Government agency securities as well as time deposits with original maturities at purchase of three months or less. These deposits are maintained at financial institutions which may exceed U.S. federal insured limits. Cash equivalents are carried at cost which approximates fair value.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enters into certain strategic investments for the promotion of business and strategic objectives. The equity method of accounting is used if the Company’s ownership interest is greater than or equal to 20.0% but less than a majority or where the Company has the ability to exercise significant influence over operating and financial policies. The Company’s equity in the earnings or losses in equity-method investments is recognized in Gain (loss) on equity securities, net, in the Consolidated Statements of Operations. Equity earnings or losses in the Company’s equity method investments (as defined in Note 10, </w:t>
      </w:r>
      <w:r>
        <w:rPr>
          <w:rFonts w:ascii="Times New Roman;serif" w:hAnsi="Times New Roman;serif"/>
          <w:b w:val="false"/>
          <w:i/>
          <w:color w:val="000000"/>
          <w:sz w:val="20"/>
        </w:rPr>
        <w:t>Related Parties and Related Commitments and Contingencies</w:t>
      </w:r>
      <w:r>
        <w:rPr>
          <w:rFonts w:ascii="Times New Roman;serif" w:hAnsi="Times New Roman;serif"/>
          <w:b w:val="false"/>
          <w:color w:val="000000"/>
          <w:sz w:val="20"/>
        </w:rPr>
        <w:t>) are reported on a three-month lag.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Company’s ownership interest is less than 20.0% and the Company does not have the ability to exercise significant influence over operating and financial policies of the investee, the Company accounts for these investments at fair value, or if these equity securities do not have a readily determinable fair value, these securities are measured at cost minus impairment, if any, plus or minus changes resulting from observable price changes. These investments are recorded in either Marketable equity securities or Other non-current assets in the Consolidated Balance Sheets and are periodically analyzed to determine whether or not impairment indicators exist.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For the period presented, the Company determined that it did not have any VIEs that are required to be consolidated.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carrying amounts of cash equivalents, accounts receivable, accounts payable and accrued expenses approximate fair value for all periods presented because of the short-term maturity of these assets and liabilities. The carrying value of notes receivable from Flash Ventures (as defined in Note 10, </w:t>
      </w:r>
      <w:r>
        <w:rPr>
          <w:rFonts w:ascii="Times New Roman;serif" w:hAnsi="Times New Roman;serif"/>
          <w:b w:val="false"/>
          <w:i/>
          <w:color w:val="000000"/>
          <w:sz w:val="20"/>
        </w:rPr>
        <w:t>Related Parties and Related Commitments and Contingencies</w:t>
      </w:r>
      <w:r>
        <w:rPr>
          <w:rFonts w:ascii="Times New Roman;serif" w:hAnsi="Times New Roman;serif"/>
          <w:b w:val="false"/>
          <w:color w:val="000000"/>
          <w:sz w:val="20"/>
        </w:rPr>
        <w:t>) also approximates fair value for all periods presented because they bear variable market rates of interest. The fair value of investments that are not accounted for under the equity method is based on appropriate market information, one of which is marketable equity securities which are reported at fair value. The carrying amounts of Notes due to (from) Western Digital Corporation approximate their fair value as the notes were due on demand.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inventories at the lower of cost (first-in, first-out) or net realizable value. Inventory write-downs are recorded for the valuation of inventory at the lower of cost or net realizable value by analyzing market conditions and estimates of future sales prices as compared to inventory costs and inventory balances.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write-down of inventory that could materially affect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attributed to the Company represents the amount by which the purchase price of businesses acquired in a business combination exceeded the estimated fair value of acquired net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not amortized. Instead, it is tested for impairment on at least an annual basis or more frequently whenever events or changes in circumstances indicate that goodwill may be impaired. The Company performs an annual impairment test as of the beginning of its fourth quarter or sooner if an indicator of impairment exists. The Company uses qualitative factors to determine whether goodwill is more-likely-than-not impaired and whether a quantitative test for impairment is considered necessary. If the Company concludes from the qualitative assessment that goodwill is more-likely-than-not impaired, the Company is required to perform a quantitative approach to determine the amount of impairment.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Company’s assessment resulted in no impairment of goodwill in 2026 and 2024. In 2025, certain macroeconomic conditions caused the Company to perform a quantitative impairment analysis which resulted in a </w:t>
      </w:r>
      <w:r>
        <w:rPr>
          <w:rFonts w:ascii="Times New Roman;serif" w:hAnsi="Times New Roman;serif"/>
          <w:b w:val="false"/>
          <w:color w:val="000000"/>
          <w:sz w:val="20"/>
          <w:shd w:fill="FFFFFF" w:val="clear"/>
        </w:rPr>
        <w:t>$1.8 billion</w:t>
      </w:r>
      <w:r>
        <w:rPr>
          <w:color w:val="000000"/>
        </w:rPr>
        <w:t xml:space="preserve"> </w:t>
      </w:r>
      <w:r>
        <w:rPr>
          <w:rFonts w:ascii="Times New Roman;serif" w:hAnsi="Times New Roman;serif"/>
          <w:b w:val="false"/>
          <w:color w:val="000000"/>
          <w:sz w:val="20"/>
        </w:rPr>
        <w:t xml:space="preserve">impairment of goodwill for the year ended June 27, 2025. See Note 5, </w:t>
      </w:r>
      <w:r>
        <w:rPr>
          <w:rFonts w:ascii="Times New Roman;serif" w:hAnsi="Times New Roman;serif"/>
          <w:b w:val="false"/>
          <w:i/>
          <w:color w:val="000000"/>
          <w:sz w:val="20"/>
        </w:rPr>
        <w:t>Supplemental Financial Statement Data</w:t>
      </w:r>
      <w:r>
        <w:rPr>
          <w:color w:val="000000"/>
        </w:rPr>
        <w:t xml:space="preserve"> </w:t>
      </w:r>
      <w:r>
        <w:rPr>
          <w:rFonts w:ascii="Times New Roman;serif" w:hAnsi="Times New Roman;serif"/>
          <w:b w:val="false"/>
          <w:color w:val="000000"/>
          <w:sz w:val="20"/>
        </w:rPr>
        <w:t>for additional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satisfies a performance obligation by transferring control over a product or service to the customer. The transaction price to be recognized as revenue is adjusted for variable consideration, such as sales incentives and other amounts determined under the terms of customer contracts, and excludes amounts collected on behalf of third parties, including taxes imposed by governmental authorities. Variable consideration is estimated and included in the transaction price only to the extent that it is probable that a significant reversal of cumulative revenue recognized will not occur. The Company’s performance obligations are typically not constrained based on the Company’s history with similar transactions and the fact that uncertainties are resolved in a fairly short period of 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 is derived from the sale of tangible products for which the performance obligations are satisfied at a point in time, generally upon delivery in accordance with the shipping terms of the arrangement. The Company’s services revenue mainly includes professional service arrangements and post-contract customer support, warranty as a service and maintenance contracts and was not material for the periods presented. The performance obligations for the Company’s services are generally satisfied ratably over the service period based on the nature of the service provided and contract terms. Similarly, revenue from patent licensing arrangements, that were also not material for the periods presented, is recognized based on whether the arrangement provides the customer a right-to-use or right-to-access the IP. Revenue for a right to use arrangement is recognized at the time the control of the license is transferred to the customer. Revenue for a right to access arrangement is recognized over the contract period as the access is provided to the customer. For the sales-based royalty arrangements, the Company estimates and recognizes revenue in the period in which customers’ licensable sales occur.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distributors and retailers, which we refer to collectively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of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sales to OEMs, the Company’s methodology for estimating variable consideration is based on the amount of consideration expected to be earned based on the OEMs’ volume of purchases from the Company or other agreed-upon sales incentive programs. For sales to resellers, the Company’s methodology for estimating variable consideration is based on the amount of consideration expected to be earned from reseller sell-through activity under agreed upon sales incentives programs. The amount of consideration to be earned by the reseller is based on historical pricing information, current pricing trends and channel inventory levels. Differences between the estimated and actual amounts of variable consideration are recognized as adjustments to revenue.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Marketing development program costs are typically recorded as a reduction of the transaction price and, therefore, as a reduction of revenue. The Company nets sales rebates against open customer receivable balances if the criteria to offset are met, otherwise they are recorded in refund liabilities.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contract liabilities reflect consideration received from customers in advance of the Company satisfying its performance obligations, and primarily include advances under long-term agreements, which we also refer to as New Business Models or “NBMs”. Contract liabilities are recognized as revenue as the related goods or services are transferred to the customer.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NBMs may require customers to maintain refundable security deposits with the Company or establish and maintain collateral with third-party financial institutions during the contract term. Security deposits are recorded as refund liabilities within the Consolidated Balance Sheets. The Company’s right to access collateral maintained with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institutions is contingent upon the occurrence of specified events of default or breach by the customer, as defined in the respective NBMs. The Company does not control the collateral or have an unconditional right to the collateral unless and until a specified customer default or breach event occurs. Collateral amounts are not recognized in the Consolidated Financial Statements until a triggering event as defined in the underlying NBM has occurred.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 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Warranty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details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Litigation and Other Contingencies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calculated loss exposure.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15,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for additional disclosures related to the Company’s litigation.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Advertising Expense</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Advertising costs are expensed as incurred and amounted to $55 million, $29 million, and $31 million in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respectively. These expenses are included in Selling, general and administrative in the Consolidated Statements of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expenditures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 laws and regulations in the jurisdictions in which it operates. These laws and regulations continue to evolve, and their interpretation and application may vary among taxing authorities. The interpretation and application of tax laws and regulations to the Company's facts and circumstances involves significant judgment and may not be uniformly applied by all tax authorities. Changes in tax laws, regulations, administrative practices, or interpretations could affect the Company's tax positions and related estimates. Accordingly, the ultimate resolution of tax matters may differ from the Company's current estimates and assumptions.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taxes are calculated as if the Company filed U.S. tax returns on a stand-alone basis separate from WDC for the pre-spin period. 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more-likely-than-not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more-likely-than-not that these deferred tax assets will be realized. The assessment of valuation allowances against the Company’s deferred tax assets requires estimation and significant judgment. The Company continues to assess and adjust its valuation allowance based on operating results and market conditions. The Company accounts for interest and penalties related to income taxes as a component of the provision for 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Net Income (Loss) Per Common Share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using the weighted average number of shares of common stock outstanding during the period. Diluted net income (loss) per common share is computed using the weighted average shares of common stock outstanding during the period and potentially dilutive common shares, including the effect of RSUs, PSUs, and rights to purchase shares of common stock under the Company’s Employee Stock Purchase Program (“ESPP”), using the treasury stock method.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Stock-based compensation represents the cost associated with stock-based awards granted to employees under stock-based compensation plans. The Company establishes stock-based compensation values at the grant date based on the estimated fair value of the award, and recognizes the cost on a straight-line basis over the requisite service period of the employee. The Company grants RSUs and PSUs subject to market conditions. RSUs are typically awarded to employees over a two- to four-year period. Market-conditioned PSUs are granted to employees with vesting conditions based on the Company’s stock price and are cliff-vested at the end of the service period. The fair value of RSUs is determined on the grant date based on the Company’s stock price at that time. The fair value of market-conditioned PSU awards is determined on the grant date using a Monte Carlo simulation model, which estimates the probability of satisfying the market conditions of the award. Forfeitures are recognized as they occur. Stock-based compensation cost is recorded in Cost of Revenue and Operating Expenses in the Consolidated Statements of Operations based on the employees’ respective functions.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Prior to the separation, the Consolidated Statements of Operations included all stock-based compensation expenses for WDC RSU and PSU awards directly attributable to Sandisk’s employees, as well as an allocation of WDC’s corporate and shared functional employees’ expenses. See Note 12, </w:t>
      </w:r>
      <w:r>
        <w:rPr>
          <w:rFonts w:ascii="Times New Roman;serif" w:hAnsi="Times New Roman;serif"/>
          <w:b w:val="false"/>
          <w:i/>
          <w:color w:val="000000"/>
          <w:sz w:val="20"/>
        </w:rPr>
        <w:t xml:space="preserve">Shareholders’ Equity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Treasury stock is carried at cost. Upon retirement of treasury stock, any excess of the repurchase price paid over par value is allocated between additional paid-in capital and retained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Other comprehensive income (loss), net of tax</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refers to gains and losses that are recorded as an element of equity but are excluded from net income (loss). The Company’s other comprehensive income (loss), net of tax, is primarily comprised of unrealized gains or losses on foreign exchange contracts designated as cash flow hedges and foreign currency translation.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Derivative Contracts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w:t>
      </w:r>
      <w:r>
        <w:rPr>
          <w:rFonts w:ascii="Times New Roman;serif" w:hAnsi="Times New Roman;serif"/>
          <w:b w:val="false"/>
          <w:color w:val="000000"/>
          <w:sz w:val="20"/>
          <w:shd w:fill="FFFFFF" w:val="clear"/>
        </w:rPr>
        <w:t xml:space="preserve">The Company does not purchase foreign exchange contracts for speculative or trading purposes. The Company had foreign exchange contracts with commercial banks for European euro, Japanese yen, Malaysian ringgit, Philippine peso, Thai baht, Korean won and Israeli shekel, which had an aggregate notional amount of $4.2 billion and $2.5 billion at </w:t>
      </w:r>
      <w:r>
        <w:rPr>
          <w:rFonts w:ascii="Times New Roman;serif" w:hAnsi="Times New Roman;serif"/>
          <w:b w:val="false"/>
          <w:color w:val="000000"/>
          <w:sz w:val="20"/>
        </w:rPr>
        <w:t>July 3,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in cash flows from operating activities. Hedge effectiveness is measured by comparing the hedging instrument’s cumulative change in fair value from inception to maturity to the underlying exposure’s terminal value. The Company determined the</w:t>
      </w:r>
      <w:r>
        <w:rPr>
          <w:color w:val="000000"/>
          <w:shd w:fill="FFFFFF" w:val="clear"/>
        </w:rPr>
        <w:t xml:space="preserve"> </w:t>
      </w:r>
      <w:r>
        <w:rPr>
          <w:rFonts w:ascii="Times New Roman;serif" w:hAnsi="Times New Roman;serif"/>
          <w:b w:val="false"/>
          <w:color w:val="000000"/>
          <w:sz w:val="20"/>
          <w:shd w:fill="FFFFFF" w:val="clear"/>
        </w:rPr>
        <w:t xml:space="preserve">ineffectiveness </w:t>
      </w:r>
      <w:r>
        <w:rPr>
          <w:rFonts w:ascii="Times New Roman;serif" w:hAnsi="Times New Roman;serif"/>
          <w:b w:val="false"/>
          <w:color w:val="000000"/>
          <w:sz w:val="20"/>
        </w:rPr>
        <w:t>associated with its cash flow hedges to be immaterial to the Consolidated Financial Statements for the periods presented.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the fair value of undesignated hedges is recognized in earnings in the period incurred and is reported in Other income (expense), net.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Accounting Pronouncements Recently Adopted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This ASU calls for enhanced income tax disclosure requirements surrounding the tabular rate reconciliation and income taxes paid. The Company adopted this ASU for the fiscal year ended July 3, 2026, and the resulting incremental disclosures have been applied prospectively. The adoption of this ASU did not impact the Company’s Consolidated Balance Sheets, Consolidated Statements of Operations, Consolidated Statements of Cash Flows and Consolidated Statements of Shareholders’ Equity. See Note 14, </w:t>
      </w:r>
      <w:r>
        <w:rPr>
          <w:rFonts w:ascii="Times New Roman;serif" w:hAnsi="Times New Roman;serif"/>
          <w:b w:val="false"/>
          <w:i/>
          <w:color w:val="000000"/>
          <w:sz w:val="20"/>
        </w:rPr>
        <w:t>Income Tax Expense</w:t>
      </w:r>
      <w:r>
        <w:rPr>
          <w:rFonts w:ascii="Times New Roman;serif" w:hAnsi="Times New Roman;serif"/>
          <w:b w:val="false"/>
          <w:color w:val="000000"/>
          <w:sz w:val="20"/>
        </w:rPr>
        <w: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which is intended to improve disclosures about the expenses of public entities. This ASU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ASU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The Company expects to provide any required disclosures for annual reporting periods included in the Company’s financial statements for the year ending June 30, 2028.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is intended to modernize the accounting for software costs. The amendments eliminate references to software development project stages and introduce a new threshold for capitalization. This ASU requires an entity to start capitalizing software costs when both of the following occur: (i) management has authorized and committed to funding the software project and (ii) it is probable that the project will be completed and the software will be used to perform the function intended (referred to as the “probable-to-complete recognition threshold”). This ASU is effective for interim reporting periods within annual reporting periods beginning after December 15, 2027, with early adoption permitted. The Company is currently assessing the impact of this ASU in the Company’s financial statements. The ASU will be effective beginning with the Company’s financial statements for the year ending June 29, 2029.</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“Accounting for Government Grants Received by Business Entities,” which is intended to clarify the accounting treatment for government grants received by business entities. This ASU establishes the accounting for a government grant received by a business entity, including guidance for a grant related to an asset and a grant related to income. This ASU also provides guidance on recognition, measurement and presentation of government grants received by a business entity. This ASU is effective for annual reporting periods beginning after December 15, 2028, and interim reporting periods within those annual reporting periods. The Company is currently assessing the impact of this ASU in the Company’s financial statements. This ASU will be effective beginning with the Company’s financial statements for the year ending June 28, 2030.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This ASU makes targeted, narrow-scope improvements to the interim reporting guidance to clarify application and to improve consistency in practice. The amendments do not change the underlying principles of interim reporting. This ASU is effective for interim reporting periods within annual reporting periods beginning after December 15, 2027, with early adoption permitted. The Company is currently assessing the impact of this ASU in the Company’s financial statements. The ASU will be effective beginning with the Company’s financial statements for the year ending June 29,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3.    Geographic Information and Concentrations of Risk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broad portfolio of technology and products addresses multiple end markets. Datacenter represents a large and growing end market comprised primarily of products for public or private cloud environments and enterprise customers. Through the Edge end market, the Company provides its OEM and channel customers a broad array of high-performance flash solutions across personal computer, mobile, gaming, automotive, physical AI,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disaggregated revenue information was as follows:</w:t>
      </w:r>
    </w:p>
    <w:tbl>
      <w:tblPr>
        <w:tblW w:w="5824" w:type="dxa"/>
        <w:jc w:val="left"/>
        <w:tblInd w:w="0" w:type="dxa"/>
        <w:tblLayout w:type="fixed"/>
        <w:tblCellMar>
          <w:top w:w="28" w:type="dxa"/>
          <w:left w:w="28" w:type="dxa"/>
          <w:bottom w:w="28" w:type="dxa"/>
          <w:right w:w="28" w:type="dxa"/>
        </w:tblCellMar>
      </w:tblPr>
      <w:tblGrid>
        <w:gridCol w:w="759"/>
        <w:gridCol w:w="669"/>
        <w:gridCol w:w="672"/>
        <w:gridCol w:w="211"/>
        <w:gridCol w:w="721"/>
        <w:gridCol w:w="109"/>
        <w:gridCol w:w="109"/>
        <w:gridCol w:w="109"/>
        <w:gridCol w:w="109"/>
        <w:gridCol w:w="211"/>
        <w:gridCol w:w="616"/>
        <w:gridCol w:w="109"/>
        <w:gridCol w:w="109"/>
        <w:gridCol w:w="109"/>
        <w:gridCol w:w="109"/>
        <w:gridCol w:w="211"/>
        <w:gridCol w:w="616"/>
        <w:gridCol w:w="266"/>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end market: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Datacenter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Edge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operations outside the United States include owned manufacturing facilities in Malaysia, manufacturing operations contracted via related parties in China and Japan, as well as sales offices throughout the Americas, Asia Pacific, Europe and the Middle East. The following tables summarize the Company’s operations by geographic area:</w:t>
      </w:r>
    </w:p>
    <w:tbl>
      <w:tblPr>
        <w:tblW w:w="6282" w:type="dxa"/>
        <w:jc w:val="left"/>
        <w:tblInd w:w="0" w:type="dxa"/>
        <w:tblLayout w:type="fixed"/>
        <w:tblCellMar>
          <w:top w:w="28" w:type="dxa"/>
          <w:left w:w="28" w:type="dxa"/>
          <w:bottom w:w="28" w:type="dxa"/>
          <w:right w:w="28" w:type="dxa"/>
        </w:tblCellMar>
      </w:tblPr>
      <w:tblGrid>
        <w:gridCol w:w="968"/>
        <w:gridCol w:w="850"/>
        <w:gridCol w:w="852"/>
        <w:gridCol w:w="211"/>
        <w:gridCol w:w="721"/>
        <w:gridCol w:w="109"/>
        <w:gridCol w:w="109"/>
        <w:gridCol w:w="109"/>
        <w:gridCol w:w="109"/>
        <w:gridCol w:w="211"/>
        <w:gridCol w:w="616"/>
        <w:gridCol w:w="109"/>
        <w:gridCol w:w="109"/>
        <w:gridCol w:w="109"/>
        <w:gridCol w:w="109"/>
        <w:gridCol w:w="211"/>
        <w:gridCol w:w="61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w:t>
            </w:r>
            <w:r>
              <w:rPr>
                <w:rFonts w:ascii="Times New Roman;serif" w:hAnsi="Times New Roman;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rFonts w:ascii="Times New Roman;serif" w:hAnsi="Times New Roman;serif"/>
          <w:b w:val="false"/>
          <w:color w:val="000000"/>
          <w:sz w:val="20"/>
        </w:rPr>
        <w:t>Net revenue is attributed to geographic regions based on the ship-to location of the customer. License and royalty revenue, which is immaterial, is attributed to countries based upon the location of the headquarters of the licensee.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Disaggregated Long-lived Assets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long-lived assets, including property, plant and equipment by geographic area, are as follows:</w:t>
      </w:r>
    </w:p>
    <w:tbl>
      <w:tblPr>
        <w:tblW w:w="4614" w:type="dxa"/>
        <w:jc w:val="left"/>
        <w:tblInd w:w="0" w:type="dxa"/>
        <w:tblLayout w:type="fixed"/>
        <w:tblCellMar>
          <w:top w:w="28" w:type="dxa"/>
          <w:left w:w="28" w:type="dxa"/>
          <w:bottom w:w="28" w:type="dxa"/>
          <w:right w:w="28" w:type="dxa"/>
        </w:tblCellMar>
      </w:tblPr>
      <w:tblGrid>
        <w:gridCol w:w="967"/>
        <w:gridCol w:w="851"/>
        <w:gridCol w:w="852"/>
        <w:gridCol w:w="211"/>
        <w:gridCol w:w="466"/>
        <w:gridCol w:w="109"/>
        <w:gridCol w:w="109"/>
        <w:gridCol w:w="109"/>
        <w:gridCol w:w="109"/>
        <w:gridCol w:w="211"/>
        <w:gridCol w:w="46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Customer Concentration and Credit Risk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sells its products to computer manufacturers and OEMs, cloud service providers, resellers, distributors and retailers throughout the world. </w:t>
      </w:r>
      <w:r>
        <w:rPr>
          <w:rFonts w:ascii="Times New Roman;serif" w:hAnsi="Times New Roman;serif"/>
          <w:b w:val="false"/>
          <w:color w:val="000000"/>
          <w:sz w:val="20"/>
          <w:shd w:fill="FFFFFF" w:val="clear"/>
        </w:rPr>
        <w:t xml:space="preserve">For </w:t>
      </w:r>
      <w:r>
        <w:rPr>
          <w:rFonts w:ascii="Times New Roman;serif" w:hAnsi="Times New Roman;serif"/>
          <w:b w:val="false"/>
          <w:color w:val="000000"/>
          <w:sz w:val="20"/>
        </w:rPr>
        <w:t>2026, 2025 and 2024,</w:t>
      </w:r>
      <w:r>
        <w:rPr>
          <w:color w:val="00000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single customer accounted for more than 10% of the Company’s net revenue. For </w:t>
      </w:r>
      <w:r>
        <w:rPr>
          <w:rFonts w:ascii="Times New Roman;serif" w:hAnsi="Times New Roman;serif"/>
          <w:b w:val="false"/>
          <w:color w:val="000000"/>
          <w:sz w:val="20"/>
        </w:rPr>
        <w:t>2026, 2025, and 2024, the Company’s top 10 customers accounted for 44%, 40% and 41% of the Company’s net revenue,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the Company had net accounts receivable of $4.7 billion and</w:t>
      </w:r>
      <w:r>
        <w:rPr>
          <w:color w:val="000000"/>
        </w:rPr>
        <w:t xml:space="preserve"> </w:t>
      </w:r>
      <w:r>
        <w:rPr>
          <w:rFonts w:ascii="Times New Roman;serif" w:hAnsi="Times New Roman;serif"/>
          <w:b w:val="false"/>
          <w:color w:val="000000"/>
          <w:sz w:val="20"/>
        </w:rPr>
        <w:t>three customers accou</w:t>
      </w:r>
      <w:r>
        <w:rPr>
          <w:rFonts w:ascii="Times New Roman;serif" w:hAnsi="Times New Roman;serif"/>
          <w:b w:val="false"/>
          <w:color w:val="000000"/>
          <w:sz w:val="20"/>
          <w:shd w:fill="FFFFFF" w:val="clear"/>
        </w:rPr>
        <w:t xml:space="preserve">nted for approximately </w:t>
      </w:r>
      <w:r>
        <w:rPr>
          <w:rFonts w:ascii="Times New Roman;serif" w:hAnsi="Times New Roman;serif"/>
          <w:b w:val="false"/>
          <w:color w:val="000000"/>
          <w:sz w:val="20"/>
        </w:rPr>
        <w:t>19%</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10%, </w:t>
      </w:r>
      <w:r>
        <w:rPr>
          <w:rFonts w:ascii="Times New Roman;serif" w:hAnsi="Times New Roman;serif"/>
          <w:b w:val="false"/>
          <w:color w:val="000000"/>
          <w:sz w:val="20"/>
          <w:shd w:fill="FFFFFF" w:val="clear"/>
        </w:rPr>
        <w:t xml:space="preserve">respectively, of the Company’s outstanding accounts receivable. 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the Company had net accounts receivable of $1.1 billion, and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customer accounted for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of the Company’s outstanding accounts receivable. Reserves for potential credit losses were not material as of each period end.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Supplier Concentration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All of the Company’s flash products require silicon wafers for the memory and controller components. All of the Company’s flash memory wafers are currently supplied from Flash Ventures, and the Company’s controller wafers are all manufactured by third-party sources. The failure of any of these sources to deliver silicon wafers could have a material adverse effect on the Company’s business, financial condition and results of operations. See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some key components are purchased from single-source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4.    Revenue</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 assets represent the Company’s right to consideration where performance obligations are completed but the customer payments are not due until another performance obligation is satisfied. The Company had no contract assets as of July 3, 2026 and June 27, 2025.</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incurs sales commissions as direct incremental costs to obtain sales contracts. The Company has applied the practical expedient to recognize sales commissions as an expense when incurred if the amortization period is expected to be one year or less, with these costs charged to Selling, general and administrative expenses. Direct incremental costs to obtain contracts with an expected benefit of more than one year were not material for the fiscal year ended July 3, 2026.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 liabilities relate to customer payments in advance of performance under the contract and primarily include remaining performance obligations under NBMs. Total contract liabilities as of July 3, 2026, were $1,242 million. The contract liabilities as of June 27, 2025 were $25 million, of which $23 million were recognized as revenue during the year ended July 3, 2026. The increase in contract liabilities during the period was driven by customer advances associated with NBMs entered into during the period.</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Refund liabilities relate to consideration received that is expected to be refunded to the customer, following their satisfaction of all performance conditions, and primarily include security deposits collected under NBMs that must be refunded at the end of the contract term. Total refund liabilities as of July 3, 2026 were $1,500 million. The refund liabilities as of June 27, 2025 were $126 million. The increase in refund liabilities during the period was driven by security deposits associated with NBMs entered into during the period ended July 3, 2026.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NBMs may include terms requiring the customer to establish and maintain collateral with third-party financial institutions. The Company’s right to access such collateral is contingent upon the occurrence of specified events of default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breach by the customer, as defined in the underlying NBM. As of July 3, 2026, no amounts have been recognized in the Company’s Consolidated Financial Statements related to these collateral balances, as the Company does not control the underlying funds or have an unconditional right to the funds unless and until a specified customer default or breach event occurs. The aggregate amount of collateral issued or held by third-party financial institutions was $5.0 billion as of July 3, 2026, representing the maximum potential proceeds available to the Company in the event of customer default or breach.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the transaction price allocated to remaining performance obligations was $59.8 billion, of which $58.7 billion has not yet been billed and $1.1 billion has been recorded as contract liabilities. Approximately 19% of the remaining performance obligations from these contracts with customers are expected to be recognized as revenue over the next twelve months. The remaining performance obligations are entirely related to NBMs.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practical expedient and does not disclose the transaction price allocated to the remaining performance obligations for (i) arrangements with an original expected duration of one year or less, and (ii) variable consideration for sale-based or usage-based royalties for intellectual property license arrangements, which typically range longer than one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Supplemental Financial Statement Data</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goodwill activity for the periods presented:</w:t>
      </w:r>
    </w:p>
    <w:tbl>
      <w:tblPr>
        <w:tblW w:w="5430" w:type="dxa"/>
        <w:jc w:val="left"/>
        <w:tblInd w:w="0" w:type="dxa"/>
        <w:tblLayout w:type="fixed"/>
        <w:tblCellMar>
          <w:top w:w="28" w:type="dxa"/>
          <w:left w:w="28" w:type="dxa"/>
          <w:bottom w:w="28" w:type="dxa"/>
          <w:right w:w="28" w:type="dxa"/>
        </w:tblCellMar>
      </w:tblPr>
      <w:tblGrid>
        <w:gridCol w:w="1218"/>
        <w:gridCol w:w="1069"/>
        <w:gridCol w:w="1073"/>
        <w:gridCol w:w="445"/>
        <w:gridCol w:w="1300"/>
        <w:gridCol w:w="325"/>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Balance at (in millions)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at June 28, 2024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Divestiture </w:t>
            </w:r>
            <w:r>
              <w:rPr>
                <w:rFonts w:ascii="Times New Roman;serif" w:hAnsi="Times New Roman;serif"/>
                <w:b w:val="false"/>
                <w:color w:val="000000"/>
                <w:sz w:val="13"/>
              </w:rPr>
              <w:t>(1)</w:t>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27, 2025</w:t>
            </w:r>
          </w:p>
        </w:tc>
        <w:tc>
          <w:tcPr>
            <w:tcW w:w="17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7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 2026</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September 28, 2024, the Company sold its majority interest in a subsidiary. See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attributed to the Company represents the historical goodwill balances in WDC’s business arising from acquisitions specific to the Company.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its single operating segment was also its single reporting unit. Goodwill is not amortized. Instead, it is tested for impairment annually as of the beginning of the Company’s fourth quarter or more frequently if events or changes in circumstances indicate that goodwill may be impaired.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subsequent to the completion of the separation, the Company identified potential impairment indicators related to macroeconomic indicators, industry developments, the trading price of the Company’s common stock and resulting market capitalization that warranted a quantitative impairment analysis of long-lived assets and goodwill.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ASC No. 360, “Property, Plant, and Equipment,” the Company performed a recoverability test at the asset group level, which was determined to be equivalent to its reporting unit, to assess potential impairment of long-lived assets comprised of property, plant and equipment. The results of the recoverability test showed that the estimated undiscounted net cash flows to be generated from the use and eventual disposition of the Company’s long-lived assets exceeded its net carrying value. As a result, no write-down of depreciable long-lived assets was recognized as of June 27, 2025.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ASC No. 350, “Intangibles - Goodwill and Other,” the Company performed a quantitative test by measuring the fair value of its reporting unit based on a weighting of two valuation methodologies: an income approach and a market approach.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approach valued the projected discounted cash flows that are expected to be generated by the Company’s reporting unit and required judgments and estimates surrounding general economic conditions and company-specific performance inputs such as revenue growth rates, gross margins, operating costs, capital expenditures, assumed tax rates and other assumptions deemed reasonable by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approach valued the reporting unit based on financial performance and market multiples of comparable public companies, including consideration of a control premium representing the estimated amount a market participant would pay to obtain a controlling interest in the Company.</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results of the quantitative test indicated that the carrying value of the Company’s reporting unit exceeded its estimated fair value, resulting in the recognition of a</w:t>
      </w:r>
      <w:r>
        <w:rPr>
          <w:color w:val="000000"/>
          <w:shd w:fill="FFFFFF" w:val="clear"/>
        </w:rPr>
        <w:t xml:space="preserve"> </w:t>
      </w:r>
      <w:r>
        <w:rPr>
          <w:rFonts w:ascii="Times New Roman;serif" w:hAnsi="Times New Roman;serif"/>
          <w:b w:val="false"/>
          <w:color w:val="000000"/>
          <w:sz w:val="20"/>
          <w:shd w:fill="FFFFFF" w:val="clear"/>
        </w:rPr>
        <w:t>$1.8 billion</w:t>
      </w:r>
      <w:r>
        <w:rPr>
          <w:color w:val="000000"/>
        </w:rPr>
        <w:t xml:space="preserve"> </w:t>
      </w:r>
      <w:r>
        <w:rPr>
          <w:rFonts w:ascii="Times New Roman;serif" w:hAnsi="Times New Roman;serif"/>
          <w:b w:val="false"/>
          <w:color w:val="000000"/>
          <w:sz w:val="20"/>
        </w:rPr>
        <w:t xml:space="preserve">goodwill impairment charge during the </w:t>
      </w:r>
      <w:r>
        <w:rPr>
          <w:rFonts w:ascii="Times New Roman;serif" w:hAnsi="Times New Roman;serif"/>
          <w:b w:val="false"/>
          <w:color w:val="000000"/>
          <w:sz w:val="20"/>
          <w:shd w:fill="FFFFFF" w:val="clear"/>
        </w:rPr>
        <w:t xml:space="preserve">third quarter of the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June 27, 2025 which was recorded in the accompanying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July 3, 2026, and June 28, 2024, there were no impairment charges recorded.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20"/>
        <w:ind w:left="0" w:right="0" w:firstLine="540"/>
        <w:jc w:val="left"/>
        <w:rPr/>
      </w:pPr>
      <w:r>
        <w:rPr>
          <w:rFonts w:ascii="Times New Roman;serif" w:hAnsi="Times New Roman;serif"/>
          <w:b w:val="false"/>
          <w:color w:val="000000"/>
          <w:sz w:val="20"/>
        </w:rPr>
        <w:t>Prior to the separation, from time to time and in connection with factoring agreements, WDC sold certain of the Company’s trade accounts receivable without recourse to third-party purchasers in exchange for cash.</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WDC sold trade accounts receivable of the Company and received cash proceeds of $339 million. The discounts on the trade accounts receivable sold during the period were not material and were recorded in Other income (expense), net, in the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July 3, 2026, and June 27, 2025, there were no trade accounts receivable sold by the Company. There were no factored receivables outstanding as of July 3, 2026 and June 27, 2025.</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tbl>
      <w:tblPr>
        <w:tblW w:w="5244" w:type="dxa"/>
        <w:jc w:val="left"/>
        <w:tblInd w:w="0" w:type="dxa"/>
        <w:tblLayout w:type="fixed"/>
        <w:tblCellMar>
          <w:top w:w="28" w:type="dxa"/>
          <w:left w:w="28" w:type="dxa"/>
          <w:bottom w:w="28" w:type="dxa"/>
          <w:right w:w="28" w:type="dxa"/>
        </w:tblCellMar>
      </w:tblPr>
      <w:tblGrid>
        <w:gridCol w:w="1085"/>
        <w:gridCol w:w="956"/>
        <w:gridCol w:w="95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component parts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recorded inventory charges of $91 million and $45 million in fiscal years 2026 and 2025, respectively, as part of Cost of revenue. The Company released a portion of its inventory provision amounting to $22 million in fiscal year 2024 as part of Cost of revenue. The Company’s inventory provisions amounted to $125 million and $126 million for the years ended July 3, 2026 and June 27, 2025.</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5059" w:type="dxa"/>
        <w:jc w:val="left"/>
        <w:tblInd w:w="0" w:type="dxa"/>
        <w:tblLayout w:type="fixed"/>
        <w:tblCellMar>
          <w:top w:w="28" w:type="dxa"/>
          <w:left w:w="28" w:type="dxa"/>
          <w:bottom w:w="28" w:type="dxa"/>
          <w:right w:w="28" w:type="dxa"/>
        </w:tblCellMar>
      </w:tblPr>
      <w:tblGrid>
        <w:gridCol w:w="1119"/>
        <w:gridCol w:w="982"/>
        <w:gridCol w:w="988"/>
        <w:gridCol w:w="215"/>
        <w:gridCol w:w="475"/>
        <w:gridCol w:w="109"/>
        <w:gridCol w:w="109"/>
        <w:gridCol w:w="109"/>
        <w:gridCol w:w="109"/>
        <w:gridCol w:w="215"/>
        <w:gridCol w:w="475"/>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Construction-in-process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Depreciation expense for property, plant and equipment totaled $149 million, $163 million, and $224 million in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Intangibles are amortized over the estimated useful life based on the pattern in which the economic benefits are expected to be received. As of July 3, 2026 the amount of finite-lived intangible assets is immaterial. As of June 27, 2025, all finite-lived intangible assets were fully amortized.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Product warranty liability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the warranty accrual were as follows:</w:t>
      </w:r>
    </w:p>
    <w:tbl>
      <w:tblPr>
        <w:tblW w:w="6407" w:type="dxa"/>
        <w:jc w:val="left"/>
        <w:tblInd w:w="0" w:type="dxa"/>
        <w:tblLayout w:type="fixed"/>
        <w:tblCellMar>
          <w:top w:w="28" w:type="dxa"/>
          <w:left w:w="28" w:type="dxa"/>
          <w:bottom w:w="28" w:type="dxa"/>
          <w:right w:w="28" w:type="dxa"/>
        </w:tblCellMar>
      </w:tblPr>
      <w:tblGrid>
        <w:gridCol w:w="1611"/>
        <w:gridCol w:w="1417"/>
        <w:gridCol w:w="1427"/>
        <w:gridCol w:w="211"/>
        <w:gridCol w:w="361"/>
        <w:gridCol w:w="109"/>
        <w:gridCol w:w="109"/>
        <w:gridCol w:w="109"/>
        <w:gridCol w:w="109"/>
        <w:gridCol w:w="211"/>
        <w:gridCol w:w="361"/>
        <w:gridCol w:w="109"/>
        <w:gridCol w:w="109"/>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accrual,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operations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pre-existing warranties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accrual,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portion of the warranty accrual was classified in Accrued expenses and the long-term portion was classified in Other liabilities as noted below:</w:t>
      </w:r>
    </w:p>
    <w:tbl>
      <w:tblPr>
        <w:tblW w:w="4323" w:type="dxa"/>
        <w:jc w:val="left"/>
        <w:tblInd w:w="0" w:type="dxa"/>
        <w:tblLayout w:type="fixed"/>
        <w:tblCellMar>
          <w:top w:w="28" w:type="dxa"/>
          <w:left w:w="28" w:type="dxa"/>
          <w:bottom w:w="28" w:type="dxa"/>
          <w:right w:w="28" w:type="dxa"/>
        </w:tblCellMar>
      </w:tblPr>
      <w:tblGrid>
        <w:gridCol w:w="700"/>
        <w:gridCol w:w="615"/>
        <w:gridCol w:w="620"/>
        <w:gridCol w:w="211"/>
        <w:gridCol w:w="361"/>
        <w:gridCol w:w="109"/>
        <w:gridCol w:w="109"/>
        <w:gridCol w:w="109"/>
        <w:gridCol w:w="109"/>
        <w:gridCol w:w="211"/>
        <w:gridCol w:w="361"/>
        <w:gridCol w:w="109"/>
        <w:gridCol w:w="109"/>
        <w:gridCol w:w="109"/>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Warranty accrual:</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warranty accrual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liabilities</w:t>
      </w:r>
    </w:p>
    <w:tbl>
      <w:tblPr>
        <w:tblW w:w="4434" w:type="dxa"/>
        <w:jc w:val="left"/>
        <w:tblInd w:w="0" w:type="dxa"/>
        <w:tblLayout w:type="fixed"/>
        <w:tblCellMar>
          <w:top w:w="28" w:type="dxa"/>
          <w:left w:w="28" w:type="dxa"/>
          <w:bottom w:w="28" w:type="dxa"/>
          <w:right w:w="28" w:type="dxa"/>
        </w:tblCellMar>
      </w:tblPr>
      <w:tblGrid>
        <w:gridCol w:w="901"/>
        <w:gridCol w:w="793"/>
        <w:gridCol w:w="796"/>
        <w:gridCol w:w="211"/>
        <w:gridCol w:w="466"/>
        <w:gridCol w:w="109"/>
        <w:gridCol w:w="109"/>
        <w:gridCol w:w="109"/>
        <w:gridCol w:w="109"/>
        <w:gridCol w:w="211"/>
        <w:gridCol w:w="46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indemnification liability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connection with, and at the time of, the separation, the Company recorded a </w:t>
      </w:r>
      <w:r>
        <w:rPr>
          <w:rFonts w:ascii="Times New Roman;serif" w:hAnsi="Times New Roman;serif"/>
          <w:b w:val="false"/>
          <w:color w:val="000000"/>
          <w:sz w:val="20"/>
          <w:shd w:fill="FFFFFF" w:val="clear"/>
        </w:rPr>
        <w:t>$112 million</w:t>
      </w:r>
      <w:r>
        <w:rPr>
          <w:color w:val="000000"/>
        </w:rPr>
        <w:t xml:space="preserve"> </w:t>
      </w:r>
      <w:r>
        <w:rPr>
          <w:rFonts w:ascii="Times New Roman;serif" w:hAnsi="Times New Roman;serif"/>
          <w:b w:val="false"/>
          <w:color w:val="000000"/>
          <w:sz w:val="20"/>
        </w:rPr>
        <w:t xml:space="preserve">liability to indemnify WDC as a result of the Tax Matters Agreement entered into between the parties in connection with the separation. The indemnification pertains to certain WDC tax positions where the underlying issues are determined to be related to the Company’s business before the spin-off. As WDC receives tax assessments, settles with tax authorities, or when the statute of limitations lapses, the indemnification liabilities will be reassessed and adjusted accordingly. The outstanding balance of the liability as of July 3, 2026 and June 27, 2025 was </w:t>
      </w:r>
      <w:r>
        <w:rPr>
          <w:rFonts w:ascii="Times New Roman;serif" w:hAnsi="Times New Roman;serif"/>
          <w:b w:val="false"/>
          <w:color w:val="000000"/>
          <w:sz w:val="20"/>
          <w:shd w:fill="FFFFFF" w:val="clear"/>
        </w:rPr>
        <w:t>$128 million and $110 million, respectively.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(“AOCL”), net of tax, refers to expenses, gains, and losses that are recorded as an element of equity but are excluded from net income. The components of AOCL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292"/>
        <w:gridCol w:w="875"/>
        <w:gridCol w:w="864"/>
        <w:gridCol w:w="559"/>
        <w:gridCol w:w="1278"/>
        <w:gridCol w:w="290"/>
        <w:gridCol w:w="109"/>
        <w:gridCol w:w="109"/>
        <w:gridCol w:w="109"/>
        <w:gridCol w:w="548"/>
        <w:gridCol w:w="1254"/>
        <w:gridCol w:w="286"/>
        <w:gridCol w:w="109"/>
        <w:gridCol w:w="109"/>
        <w:gridCol w:w="109"/>
        <w:gridCol w:w="572"/>
        <w:gridCol w:w="1307"/>
        <w:gridCol w:w="426"/>
      </w:tblGrid>
      <w:tr>
        <w:trPr/>
        <w:tc>
          <w:tcPr>
            <w:tcW w:w="12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Comprehensive Loss</w:t>
            </w:r>
          </w:p>
        </w:tc>
      </w:tr>
      <w:tr>
        <w:trPr/>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at June 28, 2024</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of other comprehensive income</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18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 to Western Digital Corporation</w:t>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at June 27, 2025</w:t>
            </w:r>
          </w:p>
        </w:tc>
        <w:tc>
          <w:tcPr>
            <w:tcW w:w="5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4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of other comprehensive income</w:t>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18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Balance at July 3, 2026</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During the years ended July 3, 2026, June 27, 2025, and June 28, 2024, the amounts reclassified out of AOCL included l</w:t>
      </w:r>
      <w:r>
        <w:rPr>
          <w:rFonts w:ascii="Times New Roman;serif" w:hAnsi="Times New Roman;serif"/>
          <w:b w:val="false"/>
          <w:color w:val="000000"/>
          <w:sz w:val="20"/>
          <w:shd w:fill="FFFFFF" w:val="clear"/>
        </w:rPr>
        <w:t xml:space="preserve">osses of $74 million, $189 million, and $215 million related to foreign exchange contracts. </w:t>
      </w:r>
      <w:r>
        <w:rPr>
          <w:rFonts w:ascii="Times New Roman;serif" w:hAnsi="Times New Roman;serif"/>
          <w:b w:val="false"/>
          <w:color w:val="000000"/>
          <w:sz w:val="20"/>
        </w:rPr>
        <w:t>The losses related to foreign contracts were substantially all charged to Cost of revenue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6.    Fair Value Measurements and Investments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Financial Instruments Carried at Fair Value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remeasured and reported at fair value at each reporting period are classified and disclosed in one of the following three levels: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Level 1.    </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Level 2.    </w:t>
      </w:r>
      <w:r>
        <w:rPr>
          <w:rFonts w:ascii="Times New Roman;serif" w:hAnsi="Times New Roman;serif"/>
          <w:b w:val="false"/>
          <w:color w:val="000000"/>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Level 3.    </w:t>
      </w:r>
      <w:r>
        <w:rPr>
          <w:rFonts w:ascii="Times New Roman;serif" w:hAnsi="Times New Roman;serif"/>
          <w:b w:val="false"/>
          <w:color w:val="000000"/>
          <w:sz w:val="20"/>
        </w:rPr>
        <w:t>Inputs that are unobservable for the asset or liability and that are significant to the fair value of the assets or liabilities.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W w:w="9436" w:type="dxa"/>
        <w:jc w:val="left"/>
        <w:tblInd w:w="0" w:type="dxa"/>
        <w:tblLayout w:type="fixed"/>
        <w:tblCellMar>
          <w:top w:w="28" w:type="dxa"/>
          <w:left w:w="28" w:type="dxa"/>
          <w:bottom w:w="28" w:type="dxa"/>
          <w:right w:w="28" w:type="dxa"/>
        </w:tblCellMar>
      </w:tblPr>
      <w:tblGrid>
        <w:gridCol w:w="1831"/>
        <w:gridCol w:w="1613"/>
        <w:gridCol w:w="1626"/>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9136" w:type="dxa"/>
        <w:jc w:val="left"/>
        <w:tblInd w:w="0" w:type="dxa"/>
        <w:tblLayout w:type="fixed"/>
        <w:tblCellMar>
          <w:top w:w="28" w:type="dxa"/>
          <w:left w:w="28" w:type="dxa"/>
          <w:bottom w:w="28" w:type="dxa"/>
          <w:right w:w="28" w:type="dxa"/>
        </w:tblCellMar>
      </w:tblPr>
      <w:tblGrid>
        <w:gridCol w:w="1831"/>
        <w:gridCol w:w="1613"/>
        <w:gridCol w:w="1626"/>
        <w:gridCol w:w="211"/>
        <w:gridCol w:w="466"/>
        <w:gridCol w:w="109"/>
        <w:gridCol w:w="109"/>
        <w:gridCol w:w="109"/>
        <w:gridCol w:w="109"/>
        <w:gridCol w:w="213"/>
        <w:gridCol w:w="411"/>
        <w:gridCol w:w="110"/>
        <w:gridCol w:w="109"/>
        <w:gridCol w:w="109"/>
        <w:gridCol w:w="109"/>
        <w:gridCol w:w="213"/>
        <w:gridCol w:w="411"/>
        <w:gridCol w:w="110"/>
        <w:gridCol w:w="109"/>
        <w:gridCol w:w="109"/>
        <w:gridCol w:w="109"/>
        <w:gridCol w:w="211"/>
        <w:gridCol w:w="46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Other current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i/>
          <w:color w:val="000000"/>
          <w:sz w:val="20"/>
        </w:rPr>
        <w:t>Money Market Funds</w:t>
      </w:r>
      <w:r>
        <w:rPr>
          <w:rFonts w:ascii="Times New Roman;serif" w:hAnsi="Times New Roman;serif"/>
          <w:b w:val="false"/>
          <w:color w:val="000000"/>
          <w:sz w:val="20"/>
        </w:rPr>
        <w:t>. The Company’s money market funds are funds invested in U.S. Treasury and U.S. Government agency securities. Money market funds are valued based on quoted market prices.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 xml:space="preserve">Marketable equity securities. </w:t>
      </w:r>
      <w:r>
        <w:rPr>
          <w:rFonts w:ascii="Times New Roman;serif" w:hAnsi="Times New Roman;serif"/>
          <w:b w:val="false"/>
          <w:color w:val="000000"/>
          <w:sz w:val="20"/>
        </w:rPr>
        <w:t xml:space="preserve">The Company’s marketable equity securities represent an investment in Nanya Technology Corporation (“Nanya”), a publicly-traded entity that has a quoted price in an active market and has a readily determinable fair value. See Note 11, </w:t>
      </w:r>
      <w:r>
        <w:rPr>
          <w:rFonts w:ascii="Times New Roman;serif" w:hAnsi="Times New Roman;serif"/>
          <w:b w:val="false"/>
          <w:i/>
          <w:color w:val="000000"/>
          <w:sz w:val="20"/>
        </w:rPr>
        <w:t>Leases and Other Commitments</w:t>
      </w:r>
      <w:r>
        <w:rPr>
          <w:color w:val="000000"/>
        </w:rPr>
        <w:t xml:space="preserve"> </w:t>
      </w:r>
      <w:r>
        <w:rPr>
          <w:rFonts w:ascii="Times New Roman;serif" w:hAnsi="Times New Roman;serif"/>
          <w:b w:val="false"/>
          <w:color w:val="000000"/>
          <w:sz w:val="20"/>
        </w:rPr>
        <w:t xml:space="preserve">for additional disclosures. The marketable equity securities are measured at fair value with the unrealized gains (losses) amounting to $807 million for the year ended July 3, 2026, recognized through Consolidated Statements of Operations. The marketable equity securities owned by the Company are subject to a statutory lock-up period of three years, during which the Company will be restricted from transferring or selling the shares, subject to limited exceptions under applicable Taiwanese law. </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Foreign Exchange Contracts</w:t>
      </w:r>
      <w:r>
        <w:rPr>
          <w:rFonts w:ascii="Times New Roman;serif" w:hAnsi="Times New Roman;serif"/>
          <w:b w:val="false"/>
          <w:color w:val="000000"/>
          <w:sz w:val="20"/>
        </w:rPr>
        <w:t xml:space="preserve">. The Company’s foreign exchange contracts are short-term contracts to hedge the Company’s foreign currency risk. Foreign exchange contracts are valued using an income approach that is based on the present value of a future cash flow model. The market-based observable inputs for the model include forward rates and credit default swap rates. See Note 7, </w:t>
      </w:r>
      <w:r>
        <w:rPr>
          <w:rFonts w:ascii="Times New Roman;serif" w:hAnsi="Times New Roman;serif"/>
          <w:b w:val="false"/>
          <w:i/>
          <w:color w:val="000000"/>
          <w:sz w:val="20"/>
        </w:rPr>
        <w:t xml:space="preserve">Derivative Instruments and Hedging Activities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periods presented, the Company had no transfers of financial instruments between levels, and there were no changes in valuation techniques or the inputs used in the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7.    Derivative Instruments and Hedging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As of July 3, 2026, the Company had outstanding foreign exchange forward contracts that were designated as non-designated hedges. As of June 27, 2025, the Company had outstanding foreign exchange forward contracts that were designated as either cash flow hedges or non-designated hedges. Substantially all of the contract maturity dates of these foreign exchange forward contracts do not exceed twelve months. As of July 3, 2026 and June 27, 2025</w:t>
      </w:r>
      <w:r>
        <w:rPr>
          <w:rFonts w:ascii="Times New Roman;serif" w:hAnsi="Times New Roman;serif"/>
          <w:b w:val="false"/>
          <w:color w:val="000000"/>
          <w:sz w:val="20"/>
          <w:shd w:fill="FFFFFF" w:val="clear"/>
        </w:rPr>
        <w:t>, the Company did not have any derivative contracts with credit-risk-related contingent features.</w:t>
      </w:r>
    </w:p>
    <w:p>
      <w:pPr>
        <w:pStyle w:val="TextBody"/>
        <w:bidi w:val="0"/>
        <w:spacing w:lineRule="auto" w:line="288" w:before="0" w:after="120"/>
        <w:ind w:left="0" w:right="0" w:firstLine="540"/>
        <w:jc w:val="left"/>
        <w:rPr/>
      </w:pPr>
      <w:r>
        <w:rPr>
          <w:rFonts w:ascii="Times New Roman;serif" w:hAnsi="Times New Roman;serif"/>
          <w:b w:val="false"/>
          <w:color w:val="000000"/>
          <w:sz w:val="20"/>
        </w:rPr>
        <w:t>Changes in the fair values of the non-designated foreign exchange contracts are recognized in Other income (expense), net, and are largely offset by corresponding changes in the fair values of the foreign currency-denominated monetary assets and liabilities. For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2025, and 2024, total net realized and unrealized transactions and foreign exchange contract currency losses were $17 million, $29 million, and $4 million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Unrealized gains or losses on any designated cash flow hedges are recognized in AOCL. For more information regarding cash flow hedges, see Note 5, </w:t>
      </w:r>
      <w:r>
        <w:rPr>
          <w:rFonts w:ascii="Times New Roman;serif" w:hAnsi="Times New Roman;serif"/>
          <w:b w:val="false"/>
          <w:i/>
          <w:color w:val="000000"/>
          <w:sz w:val="20"/>
        </w:rPr>
        <w:t xml:space="preserve">Supplemental Financial Statement Data—Accumulated other comprehensive loss </w:t>
      </w:r>
      <w:r>
        <w:rPr>
          <w:rFonts w:ascii="Times New Roman;serif" w:hAnsi="Times New Roman;serif"/>
          <w:b w:val="false"/>
          <w:color w:val="000000"/>
          <w:sz w:val="20"/>
        </w:rPr>
        <w:t>for additional disclosures</w:t>
      </w:r>
      <w:r>
        <w:rPr>
          <w:rFonts w:ascii="Times New Roman;serif" w:hAnsi="Times New Roman;serif"/>
          <w:b w:val="false"/>
          <w:i/>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consisted of the following: </w:t>
      </w:r>
    </w:p>
    <w:tbl>
      <w:tblPr>
        <w:tblW w:w="6683" w:type="dxa"/>
        <w:jc w:val="left"/>
        <w:tblInd w:w="0" w:type="dxa"/>
        <w:tblLayout w:type="fixed"/>
        <w:tblCellMar>
          <w:top w:w="28" w:type="dxa"/>
          <w:left w:w="28" w:type="dxa"/>
          <w:bottom w:w="28" w:type="dxa"/>
          <w:right w:w="28" w:type="dxa"/>
        </w:tblCellMar>
      </w:tblPr>
      <w:tblGrid>
        <w:gridCol w:w="1684"/>
        <w:gridCol w:w="1477"/>
        <w:gridCol w:w="1488"/>
        <w:gridCol w:w="211"/>
        <w:gridCol w:w="406"/>
        <w:gridCol w:w="109"/>
        <w:gridCol w:w="109"/>
        <w:gridCol w:w="109"/>
        <w:gridCol w:w="109"/>
        <w:gridCol w:w="211"/>
        <w:gridCol w:w="61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rate Term Loan Facility maturing 2032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$1.5B Revolving Credit Facility maturing 2030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the Company entered into a Loan Agreement (the “Loan Agreement”) by and among the Company, the lenders party thereto, JPMorgan Chase Bank, N.A., as administrative agent and collateral agent, and the other parties party thereto. The Loan Agreement comprised a term loan B facility in the principal amount of $2.0 billion (the “Term Loan Facility”) and a revolving credit facility in the principal amount of $1.5 billion (the “Revolving Credit Facility” and together with the Term Loan Facility, the “Facilities”).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under the Loan Agreement are guaranteed by the Company’s wholly-owned subsidiary, Sandisk Technologies, Inc. (“SDT”), and are required to be guaranteed by any of the Company’s future material U.S. wholly-owned subsidiaries, subject to certain exceptions outlined in the Loan Agreement. The obligations under the Loan Agreement are secured by the Company’s assets and SDT’s assets and are required to be secured by the assets of any of the Company’s future material U.S. wholly-owned subsidiaries, subject, in each case, to certain exceptions outlined in the Loan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of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prohibits the Company from exceeding a maximum Leverage Ratio (as defined in the Loan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the Company borrowed $2.0 billion under its Term Loan Facility. The Company used a portion of the proceeds of the borrowing to make a net distribution payment of $1.5 billion to WDC, with the remainder used for general corporate purposes of the Company. The Revolving Credit Facility may be borrowed by the Company from time to time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Agreement, the Company and SDT entered into a security agreement to secure the obligations under the Facilities on a first-priority basis (subject to permitted liens) by a lien on substantially all the assets and properties of the Company and SDT, subject to certain exceptions.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Agreement, the Company (solely with respect to obligations of any additional Borrower under the Loan Agreement) and SDT entered into a guaranty agreement to secure and unconditionally guarantee the obligations under the Loan Agreement, respectively, in each case, subject to certain exceptions.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Term Loan Facility bore interest, at the Company’s option, at (x) the Adjusted Term SOFR Rate (as defined in the Loan Agreement) plus an interest rate margin of 3.00% per annum or (y) a base rate plus an interest rate margin of 2.00% per annum.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outstanding principal balance of the Term Loan Facility was required to be repaid in quarterly installments that began on June 27, 2025, in an aggregate amount equal to 0.25% of the aggregate principal amount of the Term Loan Facility. A final payment comprised of all principal and interest was due and payable at maturity on February 20, 2032.</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4, 2026, the Company settled in full the remaining outstanding principal amounts of the Term Loan Facility, plus accrued interest, using cash on hand. In connection with the early settlement of the Term Loan Facility, the Company recognized a loss on debt extinguishment of $46 million resulting from the write-off of the remaining unamortized issuance costs.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for U.S. dollar borrowings, will bear interest, at the Company’s option, at (x) the Adjusted Term SOFR Rate (as defined in the Loan Agreement), which rate includes a credit spread adjustment of 0.10%, plus an interest rate margin of 2.00% per annum (subject to step-ups based on the Company’s Leverage Ratio (as defined in the Loan Agreement)), or (y) a base rate plus an interest rate margin of 1.00% per annum (subject to step-ups based on the Company’s Leverage Ratio (as defined in the Loan Agreement)). The Company pays a commitment fee of 0.30% per annum (subject to step-ups based on the Company’s Leverage Ratio (as defined in the Loan Agreement)) in respect of undrawn revolving commitments under the Revolving Credit Facility. The Revolving Credit Facility will also provide for borrowings in Euros, Japanese yen, and additional currencies agreed to by the lenders under the Revolving Credit Facility. The Revolving Credit Facility will mature on February 21, 2030, at which time the commitments thereunder shall be terminated and will not have any amortization.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connection with the establishment of the Revolving Credit Facility, the Company recognized deferred costs, classified as Other non-current assets of </w:t>
      </w:r>
      <w:r>
        <w:rPr>
          <w:rFonts w:ascii="Times New Roman;serif" w:hAnsi="Times New Roman;serif"/>
          <w:b w:val="false"/>
          <w:color w:val="000000"/>
          <w:sz w:val="20"/>
        </w:rPr>
        <w:t>$8 million</w:t>
      </w:r>
      <w:r>
        <w:rPr>
          <w:rFonts w:ascii="Times New Roman;serif" w:hAnsi="Times New Roman;serif"/>
          <w:b w:val="false"/>
          <w:color w:val="000000"/>
          <w:sz w:val="20"/>
          <w:shd w:fill="FFFFFF" w:val="clear"/>
        </w:rPr>
        <w:t>, which are amortized to Interest expense over the life of the facility.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Loan Agreement also includes a financial covenant, which is solely for the benefit of the lenders under the Revolving Credit Facility, that prohibits the Company from exceeding a maximum Leverage Ratio (as defined in the Loan Agreement). </w:t>
      </w:r>
      <w:r>
        <w:rPr>
          <w:rFonts w:ascii="Times New Roman;serif" w:hAnsi="Times New Roman;serif"/>
          <w:b w:val="false"/>
          <w:color w:val="000000"/>
          <w:sz w:val="20"/>
        </w:rPr>
        <w:t>As of July 3,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Company was in compliance with the financial covenant.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had no outstanding standby letters of credit, and the available capacity under the Revolving Credit Facility was $1.5 billion.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 and amortization of issuance costs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 xml:space="preserve">July 3, 2026, the total interest expense, including commitment fee expense, was $65 million and amortization of issuance costs was $7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June 27, 2025, the total commitment fee expense, including interest expense, was $53 million and amortization of issuance costs was $4 million. There was no interest expense or amortization of issuance costs for the year ended June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9.    Segment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segment cost of revenue, significant segment expenses, and other segment items that are reflected in operating income (loss) of the Company’s reportable operating segment under its internal management reporting system, along with a reconciliation to consolidated net income (loss). This presentation aligns with how the CODM reviews financial information, using both operating income (loss) and net income (loss) to evaluate performance and allocate resources.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financial information presented below, Segment cost of revenue, Segment research and development and Segment selling, general and administrative consist of Cost of revenue, Research and development and Selling, general and administrative, respectively, as reported in the Company’s Consolidated Statement of Operations, less stock-based compensation costs allocated to those captions. Additional significant segment expenses include Stock-based compensation and Goodwill impairment. Other segment items include Loss on debt extinguishment, Business separation costs, Employee termination and other, Loss on business divestiture, and in past comparative periods, Business separation costs, Employee termination and other, and Gain on business divestiture.</w:t>
      </w:r>
    </w:p>
    <w:tbl>
      <w:tblPr>
        <w:tblW w:w="8213" w:type="dxa"/>
        <w:jc w:val="left"/>
        <w:tblInd w:w="0" w:type="dxa"/>
        <w:tblLayout w:type="fixed"/>
        <w:tblCellMar>
          <w:top w:w="28" w:type="dxa"/>
          <w:left w:w="28" w:type="dxa"/>
          <w:bottom w:w="28" w:type="dxa"/>
          <w:right w:w="28" w:type="dxa"/>
        </w:tblCellMar>
      </w:tblPr>
      <w:tblGrid>
        <w:gridCol w:w="1382"/>
        <w:gridCol w:w="1219"/>
        <w:gridCol w:w="1224"/>
        <w:gridCol w:w="231"/>
        <w:gridCol w:w="790"/>
        <w:gridCol w:w="119"/>
        <w:gridCol w:w="109"/>
        <w:gridCol w:w="109"/>
        <w:gridCol w:w="109"/>
        <w:gridCol w:w="266"/>
        <w:gridCol w:w="872"/>
        <w:gridCol w:w="137"/>
        <w:gridCol w:w="109"/>
        <w:gridCol w:w="109"/>
        <w:gridCol w:w="109"/>
        <w:gridCol w:w="307"/>
        <w:gridCol w:w="788"/>
        <w:gridCol w:w="224"/>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2024</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research and development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selling, 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10.    Related Parties and Related Commitments and Contingencies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Flash Ventures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procures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Flash Partners. </w:t>
      </w:r>
      <w:r>
        <w:rPr>
          <w:rFonts w:ascii="Times New Roman;serif" w:hAnsi="Times New Roman;serif"/>
          <w:b w:val="false"/>
          <w:color w:val="000000"/>
          <w:sz w:val="20"/>
        </w:rPr>
        <w:t>Flash Partners was formed in 2004 in connection with the construction of Kioxia’s “Y3” 300-millimeter wafer fabrication facility located in Yokkaichi, Japan.</w:t>
      </w:r>
    </w:p>
    <w:p>
      <w:pPr>
        <w:pStyle w:val="TextBody"/>
        <w:bidi w:val="0"/>
        <w:spacing w:lineRule="auto" w:line="288" w:before="0" w:after="120"/>
        <w:ind w:left="0" w:right="0" w:firstLine="540"/>
        <w:jc w:val="left"/>
        <w:rPr/>
      </w:pPr>
      <w:r>
        <w:rPr>
          <w:rFonts w:ascii="Times New Roman;serif" w:hAnsi="Times New Roman;serif"/>
          <w:b/>
          <w:i/>
          <w:color w:val="000000"/>
          <w:sz w:val="20"/>
        </w:rPr>
        <w:t>Flash Alliance.</w:t>
      </w:r>
      <w:r>
        <w:rPr>
          <w:color w:val="000000"/>
        </w:rPr>
        <w:t xml:space="preserve"> </w:t>
      </w:r>
      <w:r>
        <w:rPr>
          <w:rFonts w:ascii="Times New Roman;serif" w:hAnsi="Times New Roman;serif"/>
          <w:b w:val="false"/>
          <w:color w:val="000000"/>
          <w:sz w:val="20"/>
        </w:rPr>
        <w:t>Flash Alliance was formed in 2006 in connection with the construction of Kioxia’s “Y4” 300-millimeter wafer fabrication facility located in Yokkaichi, Japan</w:t>
      </w:r>
      <w:r>
        <w:rPr>
          <w:rFonts w:ascii="Times New Roman;serif" w:hAnsi="Times New Roman;serif"/>
          <w:b w:val="false"/>
          <w:i/>
          <w:color w:val="000000"/>
          <w:sz w:val="20"/>
        </w:rPr>
        <w:t>.</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Flash Forward. </w:t>
      </w:r>
      <w:r>
        <w:rPr>
          <w:rFonts w:ascii="Times New Roman;serif" w:hAnsi="Times New Roman;serif"/>
          <w:b w:val="false"/>
          <w:color w:val="000000"/>
          <w:sz w:val="20"/>
        </w:rPr>
        <w:t>Flash Forward was formed in 2010 in connection with the construction of Kioxia’s “Y5” 300-millimeter wafer fabrication facility located in Yokkaichi, Japan. Y5 was built in two phases of approximately equal size.</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New Y2. </w:t>
      </w:r>
      <w:r>
        <w:rPr>
          <w:rFonts w:ascii="Times New Roman;serif" w:hAnsi="Times New Roman;serif"/>
          <w:b w:val="false"/>
          <w:color w:val="000000"/>
          <w:sz w:val="20"/>
        </w:rPr>
        <w:t>The Company has a facility agreement with Kioxia related to the construction and operation of Kioxia’s “New Y2” 300-millimeter wafer fabrication facility located in Yokkaichi, Japan. New Y2 primarily provided additional clean room space to convert a portion of 2-dimensional (“2D”) flash-based wafer production capacity to 3-dimensional (“3D”) flash-based wafer production capacity. Production of flash-based wafers in New Y2 started in 2016.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Y6. </w:t>
      </w:r>
      <w:r>
        <w:rPr>
          <w:rFonts w:ascii="Times New Roman;serif" w:hAnsi="Times New Roman;serif"/>
          <w:b w:val="false"/>
          <w:color w:val="000000"/>
          <w:sz w:val="20"/>
        </w:rPr>
        <w:t>The Company also has a facility agreement with Kioxia related to the construction and operation of Kioxia’s “Y6” 300-millimeter wafer fabrication facility in Yokkaichi, Japan. Y6 is primarily intended to provide clean room space to continue the transition of existing 2D flash-based wafer capacity to 3D flash-based wafer production capacity. Production of flash-based wafers in Y6 started in 2018.</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K1. </w:t>
      </w:r>
      <w:r>
        <w:rPr>
          <w:rFonts w:ascii="Times New Roman;serif" w:hAnsi="Times New Roman;serif"/>
          <w:b w:val="false"/>
          <w:color w:val="000000"/>
          <w:sz w:val="20"/>
        </w:rPr>
        <w:t>The Company also has a facility agreement with Kioxia related to the construction and operation of Kioxia’s “K1” 300-millimeter wafer fabrication facility in Kitakami, Japan. The primary purpose of K1 is to provide clean room space to continue the transition of existing flash-based wafer capacity to newer technology nodes. Production of flash-based wafers in K1 started in 2019.</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Y7. </w:t>
      </w:r>
      <w:r>
        <w:rPr>
          <w:rFonts w:ascii="Times New Roman;serif" w:hAnsi="Times New Roman;serif"/>
          <w:b w:val="false"/>
          <w:color w:val="000000"/>
          <w:sz w:val="20"/>
        </w:rPr>
        <w:t>In January 2022, the Company entered into additional agreements regarding Flash Ventures’ investment in a new wafer fabrication facility in Yokkaichi, Japan, referred to as “Y7”. The primary purpose of Y7 is to provide clean room space to continue the transition of existing flash-based wafer capacity to newer flash technology nodes. Production of flash-based wafers in Y7 started in 2022.</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K2. </w:t>
      </w:r>
      <w:r>
        <w:rPr>
          <w:rFonts w:ascii="Times New Roman;serif" w:hAnsi="Times New Roman;serif"/>
          <w:b w:val="false"/>
          <w:color w:val="000000"/>
          <w:sz w:val="20"/>
        </w:rPr>
        <w:t xml:space="preserve">In June 2024, the Company entered into additional agreements regarding Flash Ventures’ investment in a new wafer fabrication facility in Kitakami, Japan, referred to as “K2”. The primary purpose of K2 is to provide clean room space to continue the transition of existing flash-based wafer capacity to newer flash technology nodes. Output from K2 began in the fiscal year ended July 3, 2026.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construction of these facilities, the Company makes prepayments toward the Company’s share of Flash Ventures’ future building depreciation, with such amounts subsequently credited against the cost of the Company’s future wafer purchases. In connection with the start-up of the K1, Y7 and K2 facilities, the Company has made prepayments to Flash Ventures over time, and as of July 3, 2026, $840 million, with $133 million recorded in Other current assets and $707 million recorded in Other non-current assets in the Consolidated Balance Sheets, remain to be credited against future wafer purchases. The prepayments as of June 27, 2025, amounted to $946 million, with $131 million recorded in Other current assets and $815 million recorded in Other non-current assets. As of July 3, 2026, the Company is also committed to making future building depreciation prepayments relating to various facilities of $402 million, based on the Japanese yen to U.S. dollars exchange rate of 161.26 as of such date, payable at varying dates through fiscal year 2035. The amounts payable in the next five succeeding fiscal years are $118 million in 2027, $172 million in 2028, $62 million in 2029, and $50 million on varying dates through fiscal year 2031. Similar to other prepayments made to Flash Ventures, these amounts will be credited against future wafer purchases by the Company.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29, 2026, Sandisk entered into an FAL Second Commitment and Extension Agreement (the “FAL Second Extension Agreement”) by and among Sandisk, Kioxia, SanDisk LLC (“SanDisk LLC”), and SanDisk (Ireland) Limited (“SanDisk Ireland”), under which the parties thereto extended the term of Flash Alliance from December 31, 2029 to December 31, 2034.</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29, 2026, Sandisk entered into an FPL Second Commitment and Extension Agreement (the “FPL Second Extension Agreement”, and together with the FAL Second Extension Agreement, collectively, the “Extension Agreements”) by and among Sandisk, Kioxia, SanDisk LLC, and SanDisk (Cayman) Limited (“SanDisk Cayman”), under which the parties thereto extended the term of Flash Partners from December 31, 2029 to December 31, 2034.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execution of the Extension Agreements, all three of the joint ventures that comprise the Flash Ventures are scheduled to co-terminate on December 31, 2034.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Extension Agreements, on January 29, 2026, Sandisk entered into an Agreement to Enhance Collaboration by and among Sandisk, Kioxia, Sandisk Technologies, Inc. (“Sandisk Technologies”), SanDisk LLC, SanDisk Ireland and SanDisk Cayman, under which Sandisk Technologies will make certain payments directly to Kioxia totaling $1.2 billion over the years 2026 through 2029 in consideration of Kioxia’s manufacturing services and the continued availability of supply, from execution through December 31, 2034. These payments are amortized on a straight-line basis and will be recognized as Cost of revenue in the Consolidated Statements of Operations upon sale of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notes receivable from, and equity investments in, Flash Ventures for the periods presented:</w:t>
      </w:r>
    </w:p>
    <w:tbl>
      <w:tblPr>
        <w:tblW w:w="6707" w:type="dxa"/>
        <w:jc w:val="left"/>
        <w:tblInd w:w="0" w:type="dxa"/>
        <w:tblLayout w:type="fixed"/>
        <w:tblCellMar>
          <w:top w:w="28" w:type="dxa"/>
          <w:left w:w="28" w:type="dxa"/>
          <w:bottom w:w="28" w:type="dxa"/>
          <w:right w:w="28" w:type="dxa"/>
        </w:tblCellMar>
      </w:tblPr>
      <w:tblGrid>
        <w:gridCol w:w="1715"/>
        <w:gridCol w:w="1507"/>
        <w:gridCol w:w="1517"/>
        <w:gridCol w:w="211"/>
        <w:gridCol w:w="466"/>
        <w:gridCol w:w="109"/>
        <w:gridCol w:w="109"/>
        <w:gridCol w:w="109"/>
        <w:gridCol w:w="109"/>
        <w:gridCol w:w="217"/>
        <w:gridCol w:w="480"/>
        <w:gridCol w:w="158"/>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Flash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Flash Alliance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Flash Forward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Flash Partners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Flash Alliance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Flash Forward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and investments in Flash Ventures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2025, and 2024,</w:t>
      </w:r>
      <w:r>
        <w:rPr>
          <w:color w:val="000000"/>
          <w:shd w:fill="FFFFFF" w:val="clear"/>
        </w:rPr>
        <w:t xml:space="preserve"> </w:t>
      </w:r>
      <w:r>
        <w:rPr>
          <w:rFonts w:ascii="Times New Roman;serif" w:hAnsi="Times New Roman;serif"/>
          <w:b w:val="false"/>
          <w:color w:val="000000"/>
          <w:sz w:val="20"/>
          <w:shd w:fill="FFFFFF" w:val="clear"/>
        </w:rPr>
        <w:t xml:space="preserve">the Company made net payments to Flash Ventures of </w:t>
      </w:r>
      <w:r>
        <w:rPr>
          <w:rFonts w:ascii="Times New Roman;serif" w:hAnsi="Times New Roman;serif"/>
          <w:b w:val="false"/>
          <w:color w:val="000000"/>
          <w:sz w:val="20"/>
        </w:rPr>
        <w:t>$3.6 billion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$3.4 billion</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 xml:space="preserve">$3.4 billion, </w:t>
      </w:r>
      <w:r>
        <w:rPr>
          <w:rFonts w:ascii="Times New Roman;serif" w:hAnsi="Times New Roman;serif"/>
          <w:b w:val="false"/>
          <w:color w:val="000000"/>
          <w:sz w:val="20"/>
          <w:shd w:fill="FFFFFF" w:val="clear"/>
        </w:rPr>
        <w:t xml:space="preserve">respectively, for purchases of flash-based memory wafers and net loans. In </w:t>
      </w:r>
      <w:r>
        <w:rPr>
          <w:rFonts w:ascii="Times New Roman;serif" w:hAnsi="Times New Roman;serif"/>
          <w:b w:val="false"/>
          <w:color w:val="000000"/>
          <w:sz w:val="20"/>
        </w:rPr>
        <w:t>2026 and</w:t>
      </w:r>
      <w:r>
        <w:rPr>
          <w:color w:val="000000"/>
          <w:shd w:fill="FFFFFF" w:val="clear"/>
        </w:rPr>
        <w:t xml:space="preserv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the Company received distributions from Flash Venture</w:t>
      </w:r>
      <w:r>
        <w:rPr>
          <w:rFonts w:ascii="Times New Roman;serif" w:hAnsi="Times New Roman;serif"/>
          <w:b w:val="false"/>
          <w:color w:val="000000"/>
          <w:sz w:val="20"/>
        </w:rPr>
        <w:t>s of $107 million and $176 million, r</w:t>
      </w:r>
      <w:r>
        <w:rPr>
          <w:rFonts w:ascii="Times New Roman;serif" w:hAnsi="Times New Roman;serif"/>
          <w:b w:val="false"/>
          <w:color w:val="000000"/>
          <w:sz w:val="20"/>
          <w:shd w:fill="FFFFFF" w:val="clear"/>
        </w:rPr>
        <w:t xml:space="preserve">espectively. During </w:t>
      </w:r>
      <w:r>
        <w:rPr>
          <w:rFonts w:ascii="Times New Roman;serif" w:hAnsi="Times New Roman;serif"/>
          <w:b w:val="false"/>
          <w:color w:val="000000"/>
          <w:sz w:val="20"/>
        </w:rPr>
        <w:t xml:space="preserve">2024, there were no distributions from Flash Ventures. The distributions received for the year ended July 3, 2026 were classified as cash flow from operating activities while the distributions received for the year ended June 27, 2025 were classified as cash flow from investing activities in our Consolidated Statements of Cash Flows.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Ventures entity. For all reporting periods presented, no loans were past due, and no material loan impairments were recorded. The Company’s notes receivable from each Flash Ventures entity, denominated in Japanese yen, are secured by equipment owned by that Flash Ventures entity.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and June 27, 2025, the Company had accounts payable balances due to Flash Ventures of $318 million and $279 million, respectively.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maximum reasonably estimable loss exposure (excluding lost profits) as a result of its involvement with Flash Ventures, based upon the Japanese yen to U.S. dollar exchange rate at July 3, 2026, is presented below. Investments in Flash Ventures are denominated in Japanese yen, and the maximum estimable loss exposure excludes any cumulative translation adjustment due to translation from the Japanese yen to the U.S. dollar.</w:t>
      </w:r>
    </w:p>
    <w:tbl>
      <w:tblPr>
        <w:tblW w:w="4064" w:type="dxa"/>
        <w:jc w:val="left"/>
        <w:tblInd w:w="0" w:type="dxa"/>
        <w:tblLayout w:type="fixed"/>
        <w:tblCellMar>
          <w:top w:w="28" w:type="dxa"/>
          <w:left w:w="28" w:type="dxa"/>
          <w:bottom w:w="28" w:type="dxa"/>
          <w:right w:w="28" w:type="dxa"/>
        </w:tblCellMar>
      </w:tblPr>
      <w:tblGrid>
        <w:gridCol w:w="1060"/>
        <w:gridCol w:w="931"/>
        <w:gridCol w:w="933"/>
        <w:gridCol w:w="245"/>
        <w:gridCol w:w="716"/>
        <w:gridCol w:w="179"/>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guarantees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and prepayments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estimable loss exposure</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pay for variable costs incurred by Flash Ventures in producing the Company’s share of Flash Ventures’ flash-based memory wafer supply, based on its rolling three-month forecast. The Company’s share generally equals 50% of Flash Ventures’ output. In addition, the Company is obligated to pay for half of Flash Ventures’ fixed costs regardless of the output the Company chooses to purchase. The Company cannot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the Flash Ventures entity’s operating cash flow is insufficient to fund these investments.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Flash Ventures has historically operated at approximately 100% of its manufacturing capacity. During 2026, 2025 and 2024, the Company temporarily reduced its utilization of its share of Flash Ventures’ manufacturing capacity. During 2026, 2025 and 2024, the Company incurred costs of $11 million, $75 million, and $249 million, respectively, associated with the reduction in utilization related to Flash Ventures, which were recorded as charges to Cost of revenue. </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Inventory Purchase Commitments with Flash Ventures.</w:t>
      </w:r>
      <w:r>
        <w:rPr>
          <w:color w:val="000000"/>
        </w:rPr>
        <w:t> </w:t>
      </w:r>
      <w:r>
        <w:rPr>
          <w:rFonts w:ascii="Times New Roman;serif" w:hAnsi="Times New Roman;serif"/>
          <w:b w:val="false"/>
          <w:color w:val="000000"/>
          <w:sz w:val="20"/>
        </w:rPr>
        <w:t>Purchase orders placed with Flash Ventures for up to three months are binding and cannot be canceled.</w:t>
      </w:r>
    </w:p>
    <w:p>
      <w:pPr>
        <w:pStyle w:val="TextBody"/>
        <w:bidi w:val="0"/>
        <w:spacing w:lineRule="auto" w:line="288" w:before="0" w:after="120"/>
        <w:ind w:left="0" w:right="0" w:firstLine="540"/>
        <w:jc w:val="left"/>
        <w:rPr/>
      </w:pPr>
      <w:r>
        <w:rPr>
          <w:rFonts w:ascii="Times New Roman;serif" w:hAnsi="Times New Roman;serif"/>
          <w:b w:val="false"/>
          <w:i/>
          <w:color w:val="000000"/>
          <w:sz w:val="20"/>
          <w:shd w:fill="FFFFFF" w:val="clear"/>
        </w:rPr>
        <w:t>Research and Development Activities.</w:t>
      </w:r>
      <w:r>
        <w:rPr>
          <w:color w:val="000000"/>
          <w:shd w:fill="FFFFFF" w:val="clear"/>
        </w:rPr>
        <w:t xml:space="preserve"> </w:t>
      </w:r>
      <w:r>
        <w:rPr>
          <w:rFonts w:ascii="Times New Roman;serif" w:hAnsi="Times New Roman;serif"/>
          <w:b w:val="false"/>
          <w:color w:val="000000"/>
          <w:sz w:val="20"/>
          <w:shd w:fill="FFFFFF" w:val="clear"/>
        </w:rPr>
        <w:t xml:space="preserve">The Company participates in common R&amp;D activities with Kioxia and is contractually committed to a minimum funding level. R&amp;D commitments due for </w:t>
      </w:r>
      <w:r>
        <w:rPr>
          <w:rFonts w:ascii="Times New Roman;serif" w:hAnsi="Times New Roman;serif"/>
          <w:b w:val="false"/>
          <w:color w:val="000000"/>
          <w:sz w:val="20"/>
        </w:rPr>
        <w:t>2027</w:t>
      </w:r>
      <w:r>
        <w:rPr>
          <w:color w:val="000000"/>
          <w:shd w:fill="FFFFFF" w:val="clear"/>
        </w:rPr>
        <w:t xml:space="preserve"> </w:t>
      </w:r>
      <w:r>
        <w:rPr>
          <w:rFonts w:ascii="Times New Roman;serif" w:hAnsi="Times New Roman;serif"/>
          <w:b w:val="false"/>
          <w:color w:val="000000"/>
          <w:sz w:val="20"/>
          <w:shd w:fill="FFFFFF" w:val="clear"/>
        </w:rPr>
        <w:t xml:space="preserve">are </w:t>
      </w:r>
      <w:r>
        <w:rPr>
          <w:rFonts w:ascii="Times New Roman;serif" w:hAnsi="Times New Roman;serif"/>
          <w:b w:val="false"/>
          <w:color w:val="000000"/>
          <w:sz w:val="20"/>
        </w:rPr>
        <w:t>$138 million.</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Off-Balance Sheet Liabilities.</w:t>
      </w:r>
      <w:r>
        <w:rPr>
          <w:color w:val="000000"/>
        </w:rPr>
        <w:t xml:space="preserve"> </w:t>
      </w:r>
      <w:r>
        <w:rPr>
          <w:rFonts w:ascii="Times New Roman;serif" w:hAnsi="Times New Roman;serif"/>
          <w:b w:val="false"/>
          <w:color w:val="000000"/>
          <w:sz w:val="20"/>
        </w:rPr>
        <w:t>Flash Ventures sells to, and leases back from, a consortium of financial institutions a portion of its tools and has entered into equipment lease agreements of which the Company guarantees half of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portion of the remaining guarantee obligations under the Flash Ventures’ lease facilities in both Japanese yen and U.S. dollar-equivalent, based upon the Japanese yen to U.S. dollar exchange rate as of July 3, 2026:</w:t>
      </w:r>
    </w:p>
    <w:tbl>
      <w:tblPr>
        <w:tblW w:w="7061" w:type="dxa"/>
        <w:jc w:val="left"/>
        <w:tblInd w:w="0" w:type="dxa"/>
        <w:tblLayout w:type="fixed"/>
        <w:tblCellMar>
          <w:top w:w="28" w:type="dxa"/>
          <w:left w:w="28" w:type="dxa"/>
          <w:bottom w:w="28" w:type="dxa"/>
          <w:right w:w="28" w:type="dxa"/>
        </w:tblCellMar>
      </w:tblPr>
      <w:tblGrid>
        <w:gridCol w:w="859"/>
        <w:gridCol w:w="753"/>
        <w:gridCol w:w="757"/>
        <w:gridCol w:w="507"/>
        <w:gridCol w:w="1481"/>
        <w:gridCol w:w="262"/>
        <w:gridCol w:w="109"/>
        <w:gridCol w:w="109"/>
        <w:gridCol w:w="109"/>
        <w:gridCol w:w="455"/>
        <w:gridCol w:w="1328"/>
        <w:gridCol w:w="332"/>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Amounts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(Japanese yen, in billions)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(U.S. dollar, in millions)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guarantee obligations</w:t>
            </w:r>
          </w:p>
        </w:tc>
        <w:tc>
          <w:tcPr>
            <w:tcW w:w="50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3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the Company’s remaining guarantee obligations between the principal amortization and the purchase option exercise price at the end of the term of the Flash Ventures lease agreements, in annual installments, in U.S. dollars, based upon the Japanese yen to U.S. dollar exchange rate as of July 3, 2026:</w:t>
      </w:r>
    </w:p>
    <w:tbl>
      <w:tblPr>
        <w:tblW w:w="10205" w:type="dxa"/>
        <w:jc w:val="left"/>
        <w:tblInd w:w="0" w:type="dxa"/>
        <w:tblLayout w:type="fixed"/>
        <w:tblCellMar>
          <w:top w:w="28" w:type="dxa"/>
          <w:left w:w="28" w:type="dxa"/>
          <w:bottom w:w="28" w:type="dxa"/>
          <w:right w:w="28" w:type="dxa"/>
        </w:tblCellMar>
      </w:tblPr>
      <w:tblGrid>
        <w:gridCol w:w="704"/>
        <w:gridCol w:w="619"/>
        <w:gridCol w:w="620"/>
        <w:gridCol w:w="109"/>
        <w:gridCol w:w="109"/>
        <w:gridCol w:w="109"/>
        <w:gridCol w:w="654"/>
        <w:gridCol w:w="1446"/>
        <w:gridCol w:w="340"/>
        <w:gridCol w:w="109"/>
        <w:gridCol w:w="109"/>
        <w:gridCol w:w="109"/>
        <w:gridCol w:w="888"/>
        <w:gridCol w:w="1967"/>
        <w:gridCol w:w="464"/>
        <w:gridCol w:w="109"/>
        <w:gridCol w:w="109"/>
        <w:gridCol w:w="109"/>
        <w:gridCol w:w="384"/>
        <w:gridCol w:w="850"/>
        <w:gridCol w:w="288"/>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Installments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of Principal Amortization</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 Option Exercise Price at Final Lease Terms</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Guarantee Amount</w:t>
            </w:r>
          </w:p>
        </w:tc>
      </w:tr>
      <w:tr>
        <w:trPr/>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guarantee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Company and Kioxia have agreed to mutually contribute to and indemnify each other and Flash Ventures for environmental remediation costs or liabilities resulting from Flash Ventures’ manufacturing operations in certain circumstances. The Company has not made any indemnification payments nor recorded any indemnification receivables under any such agreements. 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no amounts have been accrued in the Consolidated Financial Statements with respect to these indemnification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Sale of a Majority Interest in a Subsidiary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March 2024, SanDisk China Limited (“SanDisk China”), an indirect wholly-owned subsidiary of WDC, entered into an equity purchase agreement to sell </w:t>
      </w:r>
      <w:r>
        <w:rPr>
          <w:rFonts w:ascii="Times New Roman;serif" w:hAnsi="Times New Roman;serif"/>
          <w:b w:val="false"/>
          <w:color w:val="000000"/>
          <w:sz w:val="20"/>
        </w:rPr>
        <w:t>80%</w:t>
      </w:r>
      <w:r>
        <w:rPr>
          <w:color w:val="000000"/>
          <w:shd w:fill="FFFFFF" w:val="clear"/>
        </w:rPr>
        <w:t xml:space="preserve"> </w:t>
      </w:r>
      <w:r>
        <w:rPr>
          <w:rFonts w:ascii="Times New Roman;serif" w:hAnsi="Times New Roman;serif"/>
          <w:b w:val="false"/>
          <w:color w:val="000000"/>
          <w:sz w:val="20"/>
          <w:shd w:fill="FFFFFF" w:val="clear"/>
        </w:rPr>
        <w:t>of its equity interest in SanDisk Semiconductor (Shanghai) Co. Ltd. (“SDSS”) an indirect wholly-owned subsidiary of WDC which holds one of the Company’s manufacturing facilities, to JCET Management Co., Ltd. (“JCET”), a wholly-owned subsidiary of JCET Group Co., Ltd., a Chinese publicly listed company, thereby forming a venture between SanDisk China and JCET (the “Transaction”). The venture aims to provide independent semico</w:t>
      </w:r>
      <w:r>
        <w:rPr>
          <w:rFonts w:ascii="Times New Roman;serif" w:hAnsi="Times New Roman;serif"/>
          <w:b w:val="false"/>
          <w:color w:val="000000"/>
          <w:sz w:val="20"/>
        </w:rPr>
        <w:t>nductor assembly, testing, and other related services in the People’s Republic of China for customers including, but not limited to, the Company and its affiliates.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 closed on September 28, 2024, and SanDisk China completed the sale of 80% of its equity interest in SDSS to JCET. The Transaction resulted in a pre-tax gain of $34 million, calculated as the difference between the total consideration for the sale, including the outstanding consideration receivable and the fair value of the Company’s 20% retained interest, less the carrying value of the net assets divested, which included, among other items, $71 million of cash and cash equivalents and $382 million of goodwill that was allocated to SDSS.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sale, including working capital adjustments, were $659 million (pre-tax). On October 1, 2024, the Company received an initial pre-tax installment of $262 million. On January 6, 2025, the Company received a second pre-tax installment of $210 million. The remaining $187 million pre-tax proceeds are payable in five equal installments of approximately $37 million on September 28 of each year through September 28, 2029.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25, 2025, SanDisk China and JCET entered into an Amendment No. 1 to the Amended and Restated Equity Purchase Agreement that included a $10 million provision for working capital support, resulting in a reduction of the September 28, 2025 installment payment from JCET to $27 million. The Company recognized the adjustment as a Loss on business divestiture for the year ended July 3, 2026.</w:t>
      </w:r>
    </w:p>
    <w:p>
      <w:pPr>
        <w:pStyle w:val="TextBody"/>
        <w:bidi w:val="0"/>
        <w:spacing w:lineRule="auto" w:line="288" w:before="0" w:after="120"/>
        <w:ind w:left="0" w:right="0" w:firstLine="540"/>
        <w:jc w:val="left"/>
        <w:rPr/>
      </w:pPr>
      <w:r>
        <w:rPr>
          <w:rFonts w:ascii="Times New Roman;serif" w:hAnsi="Times New Roman;serif"/>
          <w:b w:val="false"/>
          <w:color w:val="000000"/>
          <w:sz w:val="20"/>
        </w:rPr>
        <w:t>As of July 3, 2026 and June 27, 2025,</w:t>
      </w:r>
      <w:r>
        <w:rPr>
          <w:color w:val="000000"/>
          <w:shd w:fill="FFFFFF" w:val="clear"/>
        </w:rPr>
        <w:t xml:space="preserve"> </w:t>
      </w:r>
      <w:r>
        <w:rPr>
          <w:rFonts w:ascii="Times New Roman;serif" w:hAnsi="Times New Roman;serif"/>
          <w:b w:val="false"/>
          <w:color w:val="000000"/>
          <w:sz w:val="20"/>
          <w:shd w:fill="FFFFFF" w:val="clear"/>
        </w:rPr>
        <w:t>the outstanding consideration receivable was recog</w:t>
      </w:r>
      <w:r>
        <w:rPr>
          <w:rFonts w:ascii="Times New Roman;serif" w:hAnsi="Times New Roman;serif"/>
          <w:b w:val="false"/>
          <w:color w:val="000000"/>
          <w:sz w:val="20"/>
        </w:rPr>
        <w:t>nized at its present value of $139 million and $168 million, with $37 million and $37 million classified as Other current assets and $102 million and $131 million classified as Other non-current assets in the Consolidated Balance Sheets, respectively. The rema</w:t>
      </w:r>
      <w:r>
        <w:rPr>
          <w:rFonts w:ascii="Times New Roman;serif" w:hAnsi="Times New Roman;serif"/>
          <w:b w:val="false"/>
          <w:color w:val="000000"/>
          <w:sz w:val="20"/>
          <w:shd w:fill="FFFFFF" w:val="clear"/>
        </w:rPr>
        <w:t xml:space="preserve">ining present value discount of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 2026</w:t>
      </w:r>
      <w:r>
        <w:rPr>
          <w:color w:val="000000"/>
          <w:shd w:fill="FFFFFF" w:val="clear"/>
        </w:rPr>
        <w:t xml:space="preserve"> </w:t>
      </w:r>
      <w:r>
        <w:rPr>
          <w:rFonts w:ascii="Times New Roman;serif" w:hAnsi="Times New Roman;serif"/>
          <w:b w:val="false"/>
          <w:color w:val="000000"/>
          <w:sz w:val="20"/>
          <w:shd w:fill="FFFFFF" w:val="clear"/>
        </w:rPr>
        <w:t>will be recognized using the effective interest method over the next five years a</w:t>
      </w:r>
      <w:r>
        <w:rPr>
          <w:rFonts w:ascii="Times New Roman;serif" w:hAnsi="Times New Roman;serif"/>
          <w:b w:val="false"/>
          <w:color w:val="000000"/>
          <w:sz w:val="20"/>
        </w:rPr>
        <w:t>s Interest income in the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28, 2024, the Company’s 20% retained interest in SDSS was determined to be valued at $158 million based on the fair value of the total pre-tax consideration received and receivable from JCET for its purchase of its 80% interest in SDSS. Following the close of this Transaction, the Company accounts for its 20% interest in SDSS as an equity method investment within Other non-current assets in the Consolidated Balance Sheets. The Company’s 20% interest in the earnings of SDSS is recognized one quarter in arrears and is reported in Other income (expense), net in the Consolidated Statements of Operations. As of July 3, 2026, the carrying value of the 20% retained interest in SDSS was $167 million.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Subsequent to and in connection with the Transaction, Western Digital Technologies, Inc. (“WDT”, a WDC affiliate) entered into a five-year supply agreement with SDSS (the “Supply Agreement”) to purchase certain flash-based products with a minimum annual commitment of $550 million (the “minimum annual commitment”). On January 10, 2025, the Company and WDT entered into an assignment agreement, pursuant to which WDT assigned all of its rights and obligations under the Supply Agreement to the Company. The Supply Agreement contains specific penalties the Company must pay if SDSS fails to meet its minimum annual commitment. The Supply Agreement also provides that if the Company’s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w:t>
      </w:r>
      <w:r>
        <w:rPr>
          <w:rFonts w:ascii="Times New Roman;serif" w:hAnsi="Times New Roman;serif"/>
          <w:b w:val="false"/>
          <w:color w:val="000000"/>
          <w:sz w:val="20"/>
          <w:shd w:fill="FFFFFF" w:val="clear"/>
        </w:rPr>
        <w:t xml:space="preserve">one-year </w:t>
      </w:r>
      <w:r>
        <w:rPr>
          <w:rFonts w:ascii="Times New Roman;serif" w:hAnsi="Times New Roman;serif"/>
          <w:b w:val="false"/>
          <w:color w:val="000000"/>
          <w:sz w:val="20"/>
        </w:rPr>
        <w:t>terms unless earlier terminated by either of the parties. The Company also entered into an agreement to grant SDSS certain intellectual property rights on a royalty-free basis for use in manufacturing products on the Company’s behalf for the term of and under the Supply Agreement. For the years ended July 3, 2026 and June 27, 2025, the</w:t>
      </w:r>
      <w:r>
        <w:rPr>
          <w:color w:val="000000"/>
          <w:shd w:fill="FFFFFF" w:val="clear"/>
        </w:rPr>
        <w:t xml:space="preserve"> </w:t>
      </w:r>
      <w:r>
        <w:rPr>
          <w:rFonts w:ascii="Times New Roman;serif" w:hAnsi="Times New Roman;serif"/>
          <w:b w:val="false"/>
          <w:color w:val="000000"/>
          <w:sz w:val="20"/>
          <w:shd w:fill="FFFFFF" w:val="clear"/>
        </w:rPr>
        <w:t xml:space="preserve">Company made purchases of </w:t>
      </w:r>
      <w:r>
        <w:rPr>
          <w:rFonts w:ascii="Times New Roman;serif" w:hAnsi="Times New Roman;serif"/>
          <w:b w:val="false"/>
          <w:color w:val="000000"/>
          <w:sz w:val="20"/>
        </w:rPr>
        <w:t>$519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$341 million</w:t>
      </w:r>
      <w:r>
        <w:rPr>
          <w:rFonts w:ascii="Times New Roman;serif" w:hAnsi="Times New Roman;serif"/>
          <w:b w:val="false"/>
          <w:color w:val="000000"/>
          <w:sz w:val="20"/>
          <w:shd w:fill="FFFFFF" w:val="clear"/>
        </w:rPr>
        <w:t xml:space="preserve">, respectively, under the Supply Agreement and had a </w:t>
      </w:r>
      <w:r>
        <w:rPr>
          <w:rFonts w:ascii="Times New Roman;serif" w:hAnsi="Times New Roman;serif"/>
          <w:b w:val="false"/>
          <w:color w:val="000000"/>
          <w:sz w:val="20"/>
        </w:rPr>
        <w:t>$143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$121 million</w:t>
      </w:r>
      <w:r>
        <w:rPr>
          <w:color w:val="000000"/>
          <w:shd w:fill="FFFFFF" w:val="clear"/>
        </w:rPr>
        <w:t xml:space="preserve"> </w:t>
      </w:r>
      <w:r>
        <w:rPr>
          <w:rFonts w:ascii="Times New Roman;serif" w:hAnsi="Times New Roman;serif"/>
          <w:b w:val="false"/>
          <w:color w:val="000000"/>
          <w:sz w:val="20"/>
          <w:shd w:fill="FFFFFF" w:val="clear"/>
        </w:rPr>
        <w:t xml:space="preserve">accounts payable balance due to SDSS as of </w:t>
      </w:r>
      <w:r>
        <w:rPr>
          <w:rFonts w:ascii="Times New Roman;serif" w:hAnsi="Times New Roman;serif"/>
          <w:b w:val="false"/>
          <w:color w:val="000000"/>
          <w:sz w:val="20"/>
        </w:rPr>
        <w:t>July 3, 2026 and June 27, 2025, respectively</w:t>
      </w:r>
      <w:r>
        <w:rPr>
          <w:rFonts w:ascii="Times New Roman;serif" w:hAnsi="Times New Roman;serif"/>
          <w:b w:val="false"/>
          <w:color w:val="000000"/>
          <w:sz w:val="2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also entered into an arrangement to provide certain transition services for a limited period following the closing of the Transaction. </w:t>
      </w:r>
      <w:r>
        <w:rPr>
          <w:rFonts w:ascii="Times New Roman;serif" w:hAnsi="Times New Roman;serif"/>
          <w:b w:val="false"/>
          <w:color w:val="000000"/>
          <w:sz w:val="20"/>
          <w:shd w:fill="FFFFFF" w:val="clear"/>
        </w:rPr>
        <w:t xml:space="preserve">Charges under this arrangement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Unis Venture</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24, 2025, the Company and WDC entered into an equity transfer agreement (the “Equity Transfer Agreement”) to transfer WDC’s entire equity interest in its venture with Unisplendour Corporation Limited and Unissoft (Wuxi) Group Co. Ltd. (“Unis”), referred to as the “Unis Venture”, to the Company. The Unis Venture is 48% owned by the Company and 52% owned by Unis. The Unis Venture markets and sells the Company’s products in China and develops data storage systems for the Chinese market.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Prior to the execution of the Equity Transfer Agreement, the Unis Venture was not historically managed as a component of the Company, and as such, the related equity method investment was not reflected within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Consolidated Financial Statements. After the execution of the Equity Transfer Agreement, the Company accounts for its investment in the Unis Venture under the equity method of accounting. </w:t>
      </w:r>
      <w:r>
        <w:rPr>
          <w:rFonts w:ascii="Times New Roman;serif" w:hAnsi="Times New Roman;serif"/>
          <w:b w:val="false"/>
          <w:color w:val="000000"/>
          <w:sz w:val="20"/>
        </w:rPr>
        <w:t xml:space="preserve">The Company’s </w:t>
      </w:r>
      <w:r>
        <w:rPr>
          <w:rFonts w:ascii="Times New Roman;serif" w:hAnsi="Times New Roman;serif"/>
          <w:b w:val="false"/>
          <w:color w:val="000000"/>
          <w:sz w:val="20"/>
          <w:shd w:fill="FFFFFF" w:val="clear"/>
        </w:rPr>
        <w:t>48%</w:t>
      </w:r>
      <w:r>
        <w:rPr>
          <w:color w:val="000000"/>
        </w:rPr>
        <w:t xml:space="preserve"> </w:t>
      </w:r>
      <w:r>
        <w:rPr>
          <w:rFonts w:ascii="Times New Roman;serif" w:hAnsi="Times New Roman;serif"/>
          <w:b w:val="false"/>
          <w:color w:val="000000"/>
          <w:sz w:val="20"/>
        </w:rPr>
        <w:t>interest in the earnings of the Unis Venture is recognized one quarter in arrears from the date the Unis Venture was transferred to the Company and is reported in Other income (expense), net in the Consolidated Statements of Operations and was not material for the years ended July 3, 2026, June 27, 2025 and June 28, 2024.</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Revenue from products distributed by the Unis Venture is recognized upon sell-through to third-party customers. For the </w:t>
      </w:r>
      <w:r>
        <w:rPr>
          <w:rFonts w:ascii="Times New Roman;serif" w:hAnsi="Times New Roman;serif"/>
          <w:b w:val="false"/>
          <w:color w:val="000000"/>
          <w:sz w:val="20"/>
        </w:rPr>
        <w:t>years ended</w:t>
      </w:r>
      <w:r>
        <w:rPr>
          <w:color w:val="000000"/>
          <w:shd w:fill="FFFFFF" w:val="clear"/>
        </w:rPr>
        <w:t xml:space="preserve">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June 28, 2024,</w:t>
      </w:r>
      <w:r>
        <w:rPr>
          <w:color w:val="000000"/>
          <w:shd w:fill="FFFFFF" w:val="clear"/>
        </w:rPr>
        <w:t xml:space="preserve"> </w:t>
      </w:r>
      <w:r>
        <w:rPr>
          <w:rFonts w:ascii="Times New Roman;serif" w:hAnsi="Times New Roman;serif"/>
          <w:b w:val="false"/>
          <w:color w:val="000000"/>
          <w:sz w:val="20"/>
          <w:shd w:fill="FFFFFF" w:val="clear"/>
        </w:rPr>
        <w:t xml:space="preserve">the Company recognized approximately </w:t>
      </w:r>
      <w:r>
        <w:rPr>
          <w:rFonts w:ascii="Times New Roman;serif" w:hAnsi="Times New Roman;serif"/>
          <w:b w:val="false"/>
          <w:color w:val="000000"/>
          <w:sz w:val="20"/>
        </w:rPr>
        <w:t>1%, 1%, and 1%</w:t>
      </w:r>
      <w:r>
        <w:rPr>
          <w:color w:val="000000"/>
          <w:shd w:fill="FFFFFF" w:val="clear"/>
        </w:rPr>
        <w:t xml:space="preserve"> </w:t>
      </w:r>
      <w:r>
        <w:rPr>
          <w:rFonts w:ascii="Times New Roman;serif" w:hAnsi="Times New Roman;serif"/>
          <w:b w:val="false"/>
          <w:color w:val="000000"/>
          <w:sz w:val="20"/>
          <w:shd w:fill="FFFFFF" w:val="clear"/>
        </w:rPr>
        <w:t xml:space="preserve">respectively, of its consolidated revenue on products distributed by the Unis Venture. The outstanding accounts receivable due from the Unis Venture were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of Accounts receivable, net, as of </w:t>
      </w:r>
      <w:r>
        <w:rPr>
          <w:rFonts w:ascii="Times New Roman;serif" w:hAnsi="Times New Roman;serif"/>
          <w:b w:val="false"/>
          <w:color w:val="000000"/>
          <w:sz w:val="20"/>
        </w:rPr>
        <w:t>July 3,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respectively.</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Transactions with Western Digital Corporation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Relationship with WDC</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Following the separation and further disposition of WDC’s shares of the Company during fiscal year 2026, as described in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WDC ceased to be a related party of the Company as of July 3, 2026. For a portion of fiscal year 2026, WDC remained a related party of the Company. The transactions outlined below represent full year transactions with WDC.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Separation and Distribution Agreement and Other Transactions with WDC</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described in Note 1, </w:t>
      </w:r>
      <w:r>
        <w:rPr>
          <w:rFonts w:ascii="Times New Roman;serif" w:hAnsi="Times New Roman;serif"/>
          <w:b w:val="false"/>
          <w:i/>
          <w:color w:val="000000"/>
          <w:sz w:val="20"/>
        </w:rPr>
        <w:t>Organization, Basis of Presentation and Summary of Significant Accounting Policies</w:t>
      </w:r>
      <w:r>
        <w:rPr>
          <w:rFonts w:ascii="Times New Roman;serif" w:hAnsi="Times New Roman;serif"/>
          <w:b w:val="false"/>
          <w:color w:val="000000"/>
          <w:sz w:val="20"/>
        </w:rPr>
        <w:t>, on February 21, 2025, in connection with the separation, the Company entered into several agreements that provide a framework for Sandisk’s relationship with WDC after the separation. These include, but are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Separation and Distribution Agreement</w:t>
      </w:r>
      <w:r>
        <w:rPr>
          <w:color w:val="000000"/>
        </w:rPr>
        <w:t xml:space="preserve"> – </w:t>
      </w:r>
      <w:r>
        <w:rPr>
          <w:rFonts w:ascii="Times New Roman;serif" w:hAnsi="Times New Roman;serif"/>
          <w:b w:val="false"/>
          <w:color w:val="000000"/>
          <w:sz w:val="20"/>
        </w:rPr>
        <w:t xml:space="preserve">The separation and distribution agreement contains key provisions related to the separation of the Company from WDC, including the transfer of assets and assumption of liabilities. In connection with this agreement, certain assets and liabilities included in the Company’s Consolidated Balance Sheets were retained by WDC and certain assets and liabilities not included in the Company’s Consolidated Balance Sheets were transferred to the Company as of the date of the separation. </w:t>
      </w:r>
    </w:p>
    <w:p>
      <w:pPr>
        <w:pStyle w:val="TextBody"/>
        <w:bidi w:val="0"/>
        <w:spacing w:lineRule="auto" w:line="288" w:before="0" w:after="120"/>
        <w:jc w:val="left"/>
        <w:rPr/>
      </w:pPr>
      <w:r>
        <w:rPr>
          <w:rFonts w:ascii="Times New Roman;serif" w:hAnsi="Times New Roman;serif"/>
          <w:b w:val="false"/>
          <w:color w:val="000000"/>
          <w:sz w:val="20"/>
          <w:shd w:fill="FFFFFF" w:val="clear"/>
        </w:rPr>
        <w:t>Separation-related adjustments resulted in a decrease to net assets and total equity of</w:t>
      </w:r>
      <w:r>
        <w:rPr>
          <w:color w:val="000000"/>
        </w:rPr>
        <w:t xml:space="preserve"> </w:t>
      </w:r>
      <w:r>
        <w:rPr>
          <w:rFonts w:ascii="Times New Roman;serif" w:hAnsi="Times New Roman;serif"/>
          <w:b w:val="false"/>
          <w:color w:val="000000"/>
          <w:sz w:val="20"/>
        </w:rPr>
        <w:t xml:space="preserve">$0.6 billion for the year ended June 27, 2025 </w:t>
      </w:r>
      <w:r>
        <w:rPr>
          <w:rFonts w:ascii="Times New Roman;serif" w:hAnsi="Times New Roman;serif"/>
          <w:b w:val="false"/>
          <w:color w:val="000000"/>
          <w:sz w:val="20"/>
          <w:shd w:fill="FFFFFF" w:val="clear"/>
        </w:rPr>
        <w:t xml:space="preserve">and are reflected in the “Net transfers from (to) WDC, including spin-off related adjustments” line item of the Consolidated Statements of Shareholders’ Equity. 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the separation between the Company and WDC has been finalized, and no separation-related adjustments have been, or are expected to be, incurred going forward.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Employee Matters Agreement – </w:t>
      </w:r>
      <w:r>
        <w:rPr>
          <w:rFonts w:ascii="Times New Roman;serif" w:hAnsi="Times New Roman;serif"/>
          <w:b w:val="false"/>
          <w:color w:val="000000"/>
          <w:sz w:val="20"/>
        </w:rPr>
        <w:t>The Employee Matters Agreement allocates liabilities and responsibilities relating to employment matters, employee compensation and benefit plans and programs and other related matters. Pursuant to this agreement, during the year ended July 3, 2026, the Company received reimbursement of short-term employee incentives totaling $22 million from WDC. The Company did not receive any reimbursements from this agreement for the year ended June 27,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Transition Services Agreement – </w:t>
      </w:r>
      <w:r>
        <w:rPr>
          <w:rFonts w:ascii="Times New Roman;serif" w:hAnsi="Times New Roman;serif"/>
          <w:b w:val="false"/>
          <w:color w:val="000000"/>
          <w:sz w:val="20"/>
        </w:rPr>
        <w:t xml:space="preserve">The TSA governed the provision of transition services from WDC to Sandisk, and from Sandisk to WDC and its affiliates, on an interim, transitional basis following the separation.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years ended July 3, 2026 and June 27, 2025 the Company recognized $2 million and $5 million in expenses related to the TSA,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Tax Matters Agreement – </w:t>
      </w:r>
      <w:r>
        <w:rPr>
          <w:rFonts w:ascii="Times New Roman;serif" w:hAnsi="Times New Roman;serif"/>
          <w:b w:val="false"/>
          <w:color w:val="000000"/>
          <w:sz w:val="20"/>
        </w:rPr>
        <w:t xml:space="preserve">The Tax Matters Agreement governs, among other things, WDC’s and the Company’s respective rights, responsibilities and obligations after the spin-off with respect to tax liabilities and benefits, tax attributes, the preparation and filing of tax returns, the control of audits and other tax proceedings and other matters regarding taxes. In addition, the Tax Matters Agreement imposes certain restrictions on the Company and its subsidiaries (including restrictions on share issuances, business combinations, sales of assets, and similar transactions) that are designed to preserve the tax-free status of the spin-off and certain related transactions.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this agreement, the Company recorded a tax indemnification liability of $112 million on February 21, 2025. The tax indemnification liability of $128 million and $110 million was classified as Other liabilities in the Consolidated Balance Sheets as of July 3, 2026 and June 27, 2025, respectively.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Notes Due to (from) Western Digital Corporation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the Company received financing from certain of WDC’s subsidiaries in the form of borrowings under revolving credit agreements and promissory notes to fund activities primarily related to Flash Ventures. Additionally, cash generated by the Company was lent from time to time via promissory notes to certain of WDC’s subsidiaries for use in general corporate purposes. Outstanding balances due under these financing arrangements were due on demand.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the Company had outstanding borrowings due to WDC’s subsidiaries of $553 million, inclusive of interest payable. As part of the separation, WDC contributed $550 million to the Company, and the Company repaid $6 million in cash, which included interest accrued until the date of the separation.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presents Interest expense and Interest income on notes due to (from) Western Digital Corporation, which were recorded within Interest expense and Interest income in the Consolidated Statements of Operations for the periods presented:</w:t>
      </w:r>
    </w:p>
    <w:tbl>
      <w:tblPr>
        <w:tblW w:w="8212" w:type="dxa"/>
        <w:jc w:val="left"/>
        <w:tblInd w:w="0" w:type="dxa"/>
        <w:tblLayout w:type="fixed"/>
        <w:tblCellMar>
          <w:top w:w="28" w:type="dxa"/>
          <w:left w:w="28" w:type="dxa"/>
          <w:bottom w:w="28" w:type="dxa"/>
          <w:right w:w="28" w:type="dxa"/>
        </w:tblCellMar>
      </w:tblPr>
      <w:tblGrid>
        <w:gridCol w:w="1889"/>
        <w:gridCol w:w="1663"/>
        <w:gridCol w:w="1668"/>
        <w:gridCol w:w="224"/>
        <w:gridCol w:w="224"/>
        <w:gridCol w:w="226"/>
        <w:gridCol w:w="109"/>
        <w:gridCol w:w="109"/>
        <w:gridCol w:w="109"/>
        <w:gridCol w:w="269"/>
        <w:gridCol w:w="269"/>
        <w:gridCol w:w="271"/>
        <w:gridCol w:w="109"/>
        <w:gridCol w:w="109"/>
        <w:gridCol w:w="109"/>
        <w:gridCol w:w="250"/>
        <w:gridCol w:w="250"/>
        <w:gridCol w:w="355"/>
      </w:tblGrid>
      <w:tr>
        <w:trPr/>
        <w:tc>
          <w:tcPr>
            <w:tcW w:w="188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due from Western Digital Corporation</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on notes due to Western Digital Corporation </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Allocation of Corporate Expenses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separation, WDC provided various corporate services to the Company in the ordinary course of business, including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Management believes the basis on which the expenses were allocated to be a reasonable reflection of the utilization of services provided to the Company or the benefit received by the Company.</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at the beginning of the second quarter of fiscal year 2025, the Company was operationally separated from the operations that were ultimately retained by WDC following completion of the spin-off. In connection with this operational separation, personnel serving the Company in shared service functions were transferred into legal entities dedicated to the Company, and substantially all assets, liabilities, and contracts pertaining to operations of the Company were transferred to legal entities dedicated to the Company as well. Accordingly, there was a substantial reduction in the pool of shared corporate overhead costs of WDC that were subject to allocation in the second and third quarters of fiscal year 2025 and those allocations ceased post-separation.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table below summarizes </w:t>
      </w:r>
      <w:r>
        <w:rPr>
          <w:rFonts w:ascii="Times New Roman;serif" w:hAnsi="Times New Roman;serif"/>
          <w:b w:val="false"/>
          <w:color w:val="000000"/>
          <w:sz w:val="20"/>
        </w:rPr>
        <w:t>the impact of expense allocations from WDC within the Consolidated Statements of Operations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6575" w:type="dxa"/>
        <w:jc w:val="center"/>
        <w:tblInd w:w="0" w:type="dxa"/>
        <w:tblLayout w:type="fixed"/>
        <w:tblCellMar>
          <w:top w:w="28" w:type="dxa"/>
          <w:left w:w="28" w:type="dxa"/>
          <w:bottom w:w="28" w:type="dxa"/>
          <w:right w:w="28" w:type="dxa"/>
        </w:tblCellMar>
      </w:tblPr>
      <w:tblGrid>
        <w:gridCol w:w="1234"/>
        <w:gridCol w:w="1082"/>
        <w:gridCol w:w="1089"/>
        <w:gridCol w:w="211"/>
        <w:gridCol w:w="406"/>
        <w:gridCol w:w="109"/>
        <w:gridCol w:w="109"/>
        <w:gridCol w:w="109"/>
        <w:gridCol w:w="109"/>
        <w:gridCol w:w="217"/>
        <w:gridCol w:w="480"/>
        <w:gridCol w:w="112"/>
        <w:gridCol w:w="109"/>
        <w:gridCol w:w="109"/>
        <w:gridCol w:w="109"/>
        <w:gridCol w:w="211"/>
        <w:gridCol w:w="61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separation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 charges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allocation of Corporate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historical financial statements for periods prior to the separation do not purport to reflect what results of operations, financial position, equity or cash flows would have been if the Company had operated as a standalone company during the periods presented prior to the separation.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Cash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WDC provided funding for the Company’s operating and investing activities, including pooled cash managed by WDC’s treasury, to fund operating expenses and capital expenditures. WDC also directly collected certain of the Company’s receivables. These activities were reflected as a component of the Net investment from Western Digital Corporation, and this arrangement is not reflective of the manner in which the Company would operate as a standalone company separate from WDC during the periods presented.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Western Digital Corporation Net Investment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the Net investment from Western Digital Corporation on the Consolidated Balance Sheets represented WDC’s historical investment in the Company, the net effect of transactions with and allocations from WDC, the Company’s retained earnings and the allocation to the Company of cumulative effect adjustments from the adoption of new accounting standards.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Transfers from (to) Western Digital Corporation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reconciliation of Net transfers from (to) Western Digital Corporation on the Consolidated Statements of Shareholders’ Equity to the corresponding amounts on the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2294"/>
        <w:gridCol w:w="1960"/>
        <w:gridCol w:w="1965"/>
        <w:gridCol w:w="291"/>
        <w:gridCol w:w="561"/>
        <w:gridCol w:w="150"/>
        <w:gridCol w:w="109"/>
        <w:gridCol w:w="109"/>
        <w:gridCol w:w="109"/>
        <w:gridCol w:w="247"/>
        <w:gridCol w:w="792"/>
        <w:gridCol w:w="127"/>
        <w:gridCol w:w="109"/>
        <w:gridCol w:w="109"/>
        <w:gridCol w:w="109"/>
        <w:gridCol w:w="294"/>
        <w:gridCol w:w="650"/>
        <w:gridCol w:w="220"/>
      </w:tblGrid>
      <w:tr>
        <w:trPr/>
        <w:tc>
          <w:tcPr>
            <w:tcW w:w="229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2024</w:t>
            </w:r>
          </w:p>
        </w:tc>
      </w:tr>
      <w:tr>
        <w:trPr/>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(to) Western Digital Corporation per Consolidated Statements of Shareholders’ Equity</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to Western Digital Corporation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 transferred from Western Digital Corporation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Unis Venture transferred from Western Digital Corporation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transferred from Western Digital Corporation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balances transferred from Western Digital Corporation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transferred from Western Digital Corporation</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indemnification liability transferred to Western Digital Corporation</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Western Digital Corporation per Consolidated Statements of Cash Flows</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11.    Leases and Other Commitments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Company leases certain domestic and international facilities and datacenter space under long-term, non-cancelable operating leases that expire at various dates through fiscal year 2039. In connection with and subsequent to the separation, the Company entered into various sublease agreements with WDC under</w:t>
      </w:r>
      <w:r>
        <w:rPr>
          <w:color w:val="000000"/>
          <w:shd w:fill="FFFFFF" w:val="clear"/>
        </w:rPr>
        <w:t xml:space="preserve"> </w:t>
      </w:r>
      <w:r>
        <w:rPr>
          <w:rFonts w:ascii="Times New Roman;serif" w:hAnsi="Times New Roman;serif"/>
          <w:b w:val="false"/>
          <w:color w:val="000000"/>
          <w:sz w:val="20"/>
          <w:shd w:fill="FFFFFF" w:val="clear"/>
        </w:rPr>
        <w:t>long-term, non-cancelable operating leases</w:t>
      </w:r>
      <w:r>
        <w:rPr>
          <w:color w:val="000000"/>
        </w:rPr>
        <w:t xml:space="preserve"> </w:t>
      </w:r>
      <w:r>
        <w:rPr>
          <w:rFonts w:ascii="Times New Roman;serif" w:hAnsi="Times New Roman;serif"/>
          <w:b w:val="false"/>
          <w:color w:val="000000"/>
          <w:sz w:val="20"/>
        </w:rPr>
        <w:t xml:space="preserve">that expire at various dates through fiscal year 2032.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These leases include no material variable or contingent lease payments. Operating lease assets and liabilities are recognized based on the present value of the remaining lease payments discounted </w:t>
      </w:r>
      <w:r>
        <w:rPr>
          <w:rFonts w:ascii="Times New Roman;serif" w:hAnsi="Times New Roman;serif"/>
          <w:b w:val="false"/>
          <w:color w:val="000000"/>
          <w:sz w:val="20"/>
          <w:shd w:fill="FFFFFF" w:val="clear"/>
        </w:rPr>
        <w:t>using the Company’s incremental borrowing rate. O</w:t>
      </w:r>
      <w:r>
        <w:rPr>
          <w:rFonts w:ascii="Times New Roman;serif" w:hAnsi="Times New Roman;serif"/>
          <w:b w:val="false"/>
          <w:color w:val="000000"/>
          <w:sz w:val="20"/>
        </w:rPr>
        <w:t>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right-of-use lease assets and lease liabilities included in the Company’s Consolidated Balance Sheets: </w:t>
      </w:r>
    </w:p>
    <w:tbl>
      <w:tblPr>
        <w:tblW w:w="9092" w:type="dxa"/>
        <w:jc w:val="left"/>
        <w:tblInd w:w="0" w:type="dxa"/>
        <w:tblLayout w:type="fixed"/>
        <w:tblCellMar>
          <w:top w:w="28" w:type="dxa"/>
          <w:left w:w="28" w:type="dxa"/>
          <w:bottom w:w="28" w:type="dxa"/>
          <w:right w:w="28" w:type="dxa"/>
        </w:tblCellMar>
      </w:tblPr>
      <w:tblGrid>
        <w:gridCol w:w="2580"/>
        <w:gridCol w:w="2265"/>
        <w:gridCol w:w="2279"/>
        <w:gridCol w:w="211"/>
        <w:gridCol w:w="466"/>
        <w:gridCol w:w="109"/>
        <w:gridCol w:w="109"/>
        <w:gridCol w:w="109"/>
        <w:gridCol w:w="109"/>
        <w:gridCol w:w="217"/>
        <w:gridCol w:w="480"/>
        <w:gridCol w:w="158"/>
      </w:tblGrid>
      <w:tr>
        <w:trPr/>
        <w:tc>
          <w:tcPr>
            <w:tcW w:w="2580"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(included in Other non-current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operating lease liabilities (included in Accrued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operating lease liabilities (included in Other liabilities)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disclosures of operating cost and cash flow information related to operating leases:</w:t>
      </w:r>
    </w:p>
    <w:tbl>
      <w:tblPr>
        <w:tblW w:w="10205" w:type="dxa"/>
        <w:jc w:val="left"/>
        <w:tblInd w:w="0" w:type="dxa"/>
        <w:tblLayout w:type="fixed"/>
        <w:tblCellMar>
          <w:top w:w="28" w:type="dxa"/>
          <w:left w:w="28" w:type="dxa"/>
          <w:bottom w:w="28" w:type="dxa"/>
          <w:right w:w="28" w:type="dxa"/>
        </w:tblCellMar>
      </w:tblPr>
      <w:tblGrid>
        <w:gridCol w:w="2610"/>
        <w:gridCol w:w="2294"/>
        <w:gridCol w:w="2303"/>
        <w:gridCol w:w="211"/>
        <w:gridCol w:w="361"/>
        <w:gridCol w:w="109"/>
        <w:gridCol w:w="109"/>
        <w:gridCol w:w="109"/>
        <w:gridCol w:w="109"/>
        <w:gridCol w:w="250"/>
        <w:gridCol w:w="428"/>
        <w:gridCol w:w="128"/>
        <w:gridCol w:w="109"/>
        <w:gridCol w:w="109"/>
        <w:gridCol w:w="109"/>
        <w:gridCol w:w="247"/>
        <w:gridCol w:w="424"/>
        <w:gridCol w:w="186"/>
      </w:tblGrid>
      <w:tr>
        <w:trPr/>
        <w:tc>
          <w:tcPr>
            <w:tcW w:w="261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7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liabilities and right-of-use assets due to lease remeasurement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the Company’s operating leases were as follows:</w:t>
      </w:r>
    </w:p>
    <w:tbl>
      <w:tblPr>
        <w:tblW w:w="6216" w:type="dxa"/>
        <w:jc w:val="left"/>
        <w:tblInd w:w="0" w:type="dxa"/>
        <w:tblLayout w:type="fixed"/>
        <w:tblCellMar>
          <w:top w:w="28" w:type="dxa"/>
          <w:left w:w="28" w:type="dxa"/>
          <w:bottom w:w="28" w:type="dxa"/>
          <w:right w:w="28" w:type="dxa"/>
        </w:tblCellMar>
      </w:tblPr>
      <w:tblGrid>
        <w:gridCol w:w="1442"/>
        <w:gridCol w:w="1269"/>
        <w:gridCol w:w="1278"/>
        <w:gridCol w:w="203"/>
        <w:gridCol w:w="203"/>
        <w:gridCol w:w="375"/>
        <w:gridCol w:w="109"/>
        <w:gridCol w:w="109"/>
        <w:gridCol w:w="109"/>
        <w:gridCol w:w="203"/>
        <w:gridCol w:w="203"/>
        <w:gridCol w:w="450"/>
        <w:gridCol w:w="109"/>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minimum lease payments were as follows:</w:t>
      </w:r>
    </w:p>
    <w:tbl>
      <w:tblPr>
        <w:tblW w:w="4829" w:type="dxa"/>
        <w:jc w:val="left"/>
        <w:tblInd w:w="0" w:type="dxa"/>
        <w:tblLayout w:type="fixed"/>
        <w:tblCellMar>
          <w:top w:w="28" w:type="dxa"/>
          <w:left w:w="28" w:type="dxa"/>
          <w:bottom w:w="28" w:type="dxa"/>
          <w:right w:w="28" w:type="dxa"/>
        </w:tblCellMar>
      </w:tblPr>
      <w:tblGrid>
        <w:gridCol w:w="1227"/>
        <w:gridCol w:w="1078"/>
        <w:gridCol w:w="1085"/>
        <w:gridCol w:w="364"/>
        <w:gridCol w:w="807"/>
        <w:gridCol w:w="268"/>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Amounts</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lease payments by fiscal year:</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Sale-Leaseback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were allocated to the Company on a relative square footage basis and reflected as a cash inflow from investing activities in the Consolidated Statements of Cash Flows for the year ended June 28, 2024. In connection with the sale and leaseback, the Company recorded a gain of $60 million upon the closing of the transaction which was included within Employee termination and other in the Consolidated Statements of Operations.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right-of-use asset for this facility has been included in the Other liabilities and Other non-current assets in the Consolidated Balance Sheets as of July 3, 2026 and June 27, 2025. </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Purchase Agreements and Other Commitments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purchase orders with suppliers for the purchase of components used to manufacture its products. These purchase orders generally cover forecasted component supplies needed for production during the coming months, are recorded as a liability upon receipt of the components, and generally may be changed or canceled at any time prior to shipment of the components. The Company also enters into certain long-term agreements with suppliers that contain fixed future commitments, which are contingent upon certain conditions such as performance, quality and technology of the vendor’s components.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25, 2026, the Company entered into a Private Placement Subscription Agreement (the “Equity Investment Agreement”) with Nanya, pursuant to which the Company agreed to make a strategic equity investment in Nanya through a private placement of Nanya common stock (the “Transaction”).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Under the Equity Investment Agreement, the Company agreed to purchase approximately 139 million shares of Nanya common stock for an aggregate purchase price of $970 million, representing approximately 3.9% of Nanya’s outstanding common stock on a fully diluted basis following the Transaction. The purchase price reflected a 15% discount to Nanya’s 30-day average trading price, consistent with the Taiwan Securities and Exchange Act (“SEA”) and applicable regulations. The private placement was conducted pursuant to Article 43-6 of the SEA and applicable regulations and was subject to post-closing filings with the Taiwan Stock Exchange and other Taiwanese regulatory authorities. The shares issued to the Company in the private placement are subject to a statutory lock-up period of three years following delivery, during which the Company will be restricted from transferring or selling the shares, subject to limited exceptions under applicable Taiwanese law. On April 8, 2026, the Company remitted the purchase price to fully subscribe for the shares of Nanya and recognized the investment as Marketable equity securities in the Consolidated Balance Sheet. See Note 6,</w:t>
      </w:r>
      <w:r>
        <w:rPr>
          <w:color w:val="000000"/>
        </w:rPr>
        <w:t xml:space="preserve"> </w:t>
      </w:r>
      <w:r>
        <w:rPr>
          <w:rFonts w:ascii="Times New Roman;serif" w:hAnsi="Times New Roman;serif"/>
          <w:b w:val="false"/>
          <w:i/>
          <w:color w:val="000000"/>
          <w:sz w:val="20"/>
        </w:rPr>
        <w:t>Fair Value Measurements and Investments</w:t>
      </w:r>
      <w:r>
        <w:rPr>
          <w:color w:val="000000"/>
        </w:rPr>
        <w:t xml:space="preserve"> </w:t>
      </w:r>
      <w:r>
        <w:rPr>
          <w:rFonts w:ascii="Times New Roman;serif" w:hAnsi="Times New Roman;serif"/>
          <w:b w:val="false"/>
          <w:color w:val="000000"/>
          <w:sz w:val="20"/>
        </w:rPr>
        <w:t xml:space="preserve">for additional disclosures.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Concurrently with the Equity Investment Agreement, the Company and Nanya also entered into a multi-year strategic supply arrangement pursuant to which Nanya will supply the Company with DRAM products. The supply arrangement is intended to support the Company’s long-term DRAM sourcing strategy. The supply arrangement includes committed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per year, subject to variable pricing that is determined on a quarterly basis. Due to the variable pricing in this supply arrangement, actual amounts may differ from the amounts included within the table below.</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had the following minimum long-term commitments:</w:t>
      </w:r>
    </w:p>
    <w:tbl>
      <w:tblPr>
        <w:tblW w:w="3299" w:type="dxa"/>
        <w:jc w:val="left"/>
        <w:tblInd w:w="0" w:type="dxa"/>
        <w:tblLayout w:type="fixed"/>
        <w:tblCellMar>
          <w:top w:w="28" w:type="dxa"/>
          <w:left w:w="28" w:type="dxa"/>
          <w:bottom w:w="28" w:type="dxa"/>
          <w:right w:w="28" w:type="dxa"/>
        </w:tblCellMar>
      </w:tblPr>
      <w:tblGrid>
        <w:gridCol w:w="379"/>
        <w:gridCol w:w="334"/>
        <w:gridCol w:w="337"/>
        <w:gridCol w:w="482"/>
        <w:gridCol w:w="1412"/>
        <w:gridCol w:w="355"/>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 commitments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3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12.     Shareholders’ Equity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Prio</w:t>
      </w:r>
      <w:r>
        <w:rPr>
          <w:rFonts w:ascii="Times New Roman;serif" w:hAnsi="Times New Roman;serif"/>
          <w:b w:val="false"/>
          <w:color w:val="000000"/>
          <w:sz w:val="20"/>
        </w:rPr>
        <w:t>r to the separation, certain of the Company’s employees participated in WDC’s stock incentive plans (the “WDC Plans”), whereby all awards granted under the plans consisted of WDC common stock. The stock-based compensation expense recognized in the Company’s Consolidated Financial Statements was determined based upon employees who participated in the WDC Plans and exclusively supported the Company’s operations, as well as an allocation of WDC’s corporate and shared employee stock-based compensation expenses.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connection with the separation, all outstanding RSU and PSU awards held by former employees of WDC and its affiliates, who became Sandisk employees after the separation, were adjusted pursuant to conversion ratios determined in accordance with the terms of the Employee Matters Agreement. Outstanding RSU and PSU awards held by employees in the positions of Vice President and above as of the separation date were converted into RSU or PSU awards of Sandisk shares and RSU awards of WDC shares at a ratio of one-third (1/3) of one share of the Company’s common stock for each WDC award held by each such employee. For all other employees, the value of the converted RSU awards was designed to preserve the aggregate intrinsic value of the awards immediately after the separation when compared to the aggregate intrinsic value of those awards immediately prior to separation. Pursuant to the Employee Matters Agreement, the converted awards generally continue to be subject to the same terms and conditions as were applicable to the original WDC awards, including with respect to vesting, except as described in the Employee Matters Agreement. </w:t>
      </w:r>
      <w:r>
        <w:rPr>
          <w:rFonts w:ascii="Times New Roman;serif" w:hAnsi="Times New Roman;serif"/>
          <w:b w:val="false"/>
          <w:color w:val="000000"/>
          <w:sz w:val="20"/>
        </w:rPr>
        <w:t>As a result of the conversion, the Company will incur approximately $41 million of incremental stock-based compensation expense over the period from the separation through the remaining service period for the awards. Of this amount, $17 million was recognized during the year ended July 3, 2026, and approximately $12 million is expected to be recognized over the awar</w:t>
      </w:r>
      <w:r>
        <w:rPr>
          <w:rFonts w:ascii="Times New Roman;serif" w:hAnsi="Times New Roman;serif"/>
          <w:b w:val="false"/>
          <w:color w:val="000000"/>
          <w:sz w:val="20"/>
          <w:shd w:fill="FFFFFF" w:val="clear"/>
        </w:rPr>
        <w:t xml:space="preserve">ds’ remaining service periods.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Additionally, the Company adopted the following incentive plans for Sandisk employees: (i) Sandisk Corporation 2025 Long-Term Incentive Plan (the “2025 Long-Term Incentive Plan”), and (ii) Sandisk Corporation 2025 Employee Stock Purchase Plan. Grants of equity awards made after the separation to </w:t>
      </w:r>
      <w:r>
        <w:rPr>
          <w:rFonts w:ascii="Times New Roman;serif" w:hAnsi="Times New Roman;serif"/>
          <w:b w:val="false"/>
          <w:color w:val="000000"/>
          <w:sz w:val="20"/>
        </w:rPr>
        <w:t xml:space="preserve">the Company’s </w:t>
      </w:r>
      <w:r>
        <w:rPr>
          <w:rFonts w:ascii="Times New Roman;serif" w:hAnsi="Times New Roman;serif"/>
          <w:b w:val="false"/>
          <w:color w:val="000000"/>
          <w:sz w:val="20"/>
          <w:shd w:fill="FFFFFF" w:val="clear"/>
        </w:rPr>
        <w:t xml:space="preserve">executive officers and other employees will be made under the 2025 Long-Term Incentive Plan, which became effective on January 25, 2025.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separation, certain employees of the Company participate in stock incentive plans which allow for stock-based compensation in a number of forms, including RSU awards, PSU awards, and the ESPP. </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Long-Term Incentive Plan</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types of awards that may be granted include stock options, stock appreciation rights, RSUs, PSUs, cash awards, and other stock-based awards. Persons eligible to receive awards include officers and employees of the Company or any of its subsidiaries, members of the Board and certain consultants and advisors. The vesting of awards is determined at the grant date. Each award expires on a date determined at the grant date. RSUs typically vest over periods ranging from two to four years from the grant date. PSUs are granted to certain employees and vest only after the achievement of a predetermined performance or market conditions and completion of requisite service periods. Once the performance or market conditions are met, the employee’s vesting of PSUs is generally subject to continued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 2026</w:t>
      </w:r>
      <w:r>
        <w:rPr>
          <w:rFonts w:ascii="Times New Roman;serif" w:hAnsi="Times New Roman;serif"/>
          <w:b w:val="false"/>
          <w:color w:val="000000"/>
          <w:sz w:val="20"/>
          <w:shd w:fill="FFFFFF" w:val="clear"/>
        </w:rPr>
        <w:t>, the maximum number of shares of the Company’s common stock that was authorized for award grants was 23.8 million shares. The 2025 Long-Term Incentive Plan terminates on January 25, 2035, unless terminated earlier by the Company’s Board of Directors.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Employee Stock Purchase Plan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ESPP under which WDC, as its previous sole stockholder, approved an aggregate of approximately 4.3 million shares of common stock for issuance to eligible employees. The fair value of the award at the grant date is based on the Black-Scholes valuation model. The plan permits eligible employees to purchase common stock, through payroll deductions, at 95% of the fair market value of a share of common stock on the first day of the 24-month offering period in which the employees are participating or 95% of the fair market value of a share of common stock on the applicable exercise date, whichever is lower. Rights to purchase shares are granted during the second and fourth quarters of each fiscal year.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After the separation, the Company had an offering period starting on April 1, 2025 and ending on May 31, 2025. Following the end of this offering period, the Company initiated regular offering periods of six months each generally beginning on June 1st and December 1st.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issued 0.7 million shares under the ESPP for aggregate purchase amounts of $58 million.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Company’s stock-based compensation expense for equity-settled awards by type, financial statement line, and the related tax benefit included in the Company’s Consolidated Statements of Operations:</w:t>
      </w:r>
    </w:p>
    <w:tbl>
      <w:tblPr>
        <w:tblW w:w="4436" w:type="dxa"/>
        <w:jc w:val="left"/>
        <w:tblInd w:w="0" w:type="dxa"/>
        <w:tblLayout w:type="fixed"/>
        <w:tblCellMar>
          <w:top w:w="28" w:type="dxa"/>
          <w:left w:w="28" w:type="dxa"/>
          <w:bottom w:w="28" w:type="dxa"/>
          <w:right w:w="28" w:type="dxa"/>
        </w:tblCellMar>
      </w:tblPr>
      <w:tblGrid>
        <w:gridCol w:w="500"/>
        <w:gridCol w:w="437"/>
        <w:gridCol w:w="442"/>
        <w:gridCol w:w="211"/>
        <w:gridCol w:w="466"/>
        <w:gridCol w:w="109"/>
        <w:gridCol w:w="109"/>
        <w:gridCol w:w="109"/>
        <w:gridCol w:w="109"/>
        <w:gridCol w:w="211"/>
        <w:gridCol w:w="466"/>
        <w:gridCol w:w="109"/>
        <w:gridCol w:w="109"/>
        <w:gridCol w:w="109"/>
        <w:gridCol w:w="109"/>
        <w:gridCol w:w="211"/>
        <w:gridCol w:w="4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57" w:type="dxa"/>
        <w:jc w:val="center"/>
        <w:tblInd w:w="0" w:type="dxa"/>
        <w:tblLayout w:type="fixed"/>
        <w:tblCellMar>
          <w:top w:w="28" w:type="dxa"/>
          <w:left w:w="28" w:type="dxa"/>
          <w:bottom w:w="28" w:type="dxa"/>
          <w:right w:w="28" w:type="dxa"/>
        </w:tblCellMar>
      </w:tblPr>
      <w:tblGrid>
        <w:gridCol w:w="1084"/>
        <w:gridCol w:w="956"/>
        <w:gridCol w:w="960"/>
        <w:gridCol w:w="211"/>
        <w:gridCol w:w="466"/>
        <w:gridCol w:w="109"/>
        <w:gridCol w:w="109"/>
        <w:gridCol w:w="109"/>
        <w:gridCol w:w="109"/>
        <w:gridCol w:w="211"/>
        <w:gridCol w:w="466"/>
        <w:gridCol w:w="109"/>
        <w:gridCol w:w="109"/>
        <w:gridCol w:w="109"/>
        <w:gridCol w:w="109"/>
        <w:gridCol w:w="211"/>
        <w:gridCol w:w="46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shortfalls or excess windfall tax benefits and tax deficiencies for shortfalls related to the vesting and exercise of stock-based awards, which are recognized as a component of the Company’s Income tax expense, are excluded from the tax benefit above.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cost related to unvested RSUs, PSUs, and rights to purchase shares of common stock under the ESPP are amortized on a straight-line basis over the service period. The following table presents the unamortized compensation cost and weighted average service period of all unvested outstanding awards as of July 3, 2026:</w:t>
      </w:r>
    </w:p>
    <w:tbl>
      <w:tblPr>
        <w:tblW w:w="9416" w:type="dxa"/>
        <w:jc w:val="left"/>
        <w:tblInd w:w="0" w:type="dxa"/>
        <w:tblLayout w:type="fixed"/>
        <w:tblCellMar>
          <w:top w:w="28" w:type="dxa"/>
          <w:left w:w="28" w:type="dxa"/>
          <w:bottom w:w="28" w:type="dxa"/>
          <w:right w:w="28" w:type="dxa"/>
        </w:tblCellMar>
      </w:tblPr>
      <w:tblGrid>
        <w:gridCol w:w="1153"/>
        <w:gridCol w:w="1008"/>
        <w:gridCol w:w="1019"/>
        <w:gridCol w:w="796"/>
        <w:gridCol w:w="1761"/>
        <w:gridCol w:w="413"/>
        <w:gridCol w:w="109"/>
        <w:gridCol w:w="109"/>
        <w:gridCol w:w="109"/>
        <w:gridCol w:w="859"/>
        <w:gridCol w:w="859"/>
        <w:gridCol w:w="1221"/>
      </w:tblGrid>
      <w:tr>
        <w:trPr/>
        <w:tc>
          <w:tcPr>
            <w:tcW w:w="115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service period</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(years)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2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unamortized compensation cost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RSUs and PSUs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and PSU award activity under the Company’s incentive plans during the year ended July 3, 2026:</w:t>
      </w:r>
    </w:p>
    <w:tbl>
      <w:tblPr>
        <w:tblW w:w="9707" w:type="dxa"/>
        <w:jc w:val="left"/>
        <w:tblInd w:w="0" w:type="dxa"/>
        <w:tblLayout w:type="fixed"/>
        <w:tblCellMar>
          <w:top w:w="28" w:type="dxa"/>
          <w:left w:w="28" w:type="dxa"/>
          <w:bottom w:w="28" w:type="dxa"/>
          <w:right w:w="28" w:type="dxa"/>
        </w:tblCellMar>
      </w:tblPr>
      <w:tblGrid>
        <w:gridCol w:w="1400"/>
        <w:gridCol w:w="1233"/>
        <w:gridCol w:w="1236"/>
        <w:gridCol w:w="539"/>
        <w:gridCol w:w="539"/>
        <w:gridCol w:w="541"/>
        <w:gridCol w:w="109"/>
        <w:gridCol w:w="109"/>
        <w:gridCol w:w="109"/>
        <w:gridCol w:w="818"/>
        <w:gridCol w:w="2389"/>
        <w:gridCol w:w="422"/>
        <w:gridCol w:w="109"/>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June 27,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July 3,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weighted average fair value, as of their respective vesting dates, for the years ended July 3, 2026, and June 27, 2025 were $1,808 million and $47 million, respectively, of common stock available for future grants under our equity incentive plans. For the year ended June 28, 2024, the Company’s equity incentive plan was not yet active and there was no common stock available for future grants.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RSUs are generally settled in an equal number of shares of the Company’s common stock upon vesting. PSUs contain performance conditions under which the recipient may earn from 0% to 300% of the target number of shares awarded. The PSU awards consist of 1.4 million granted awards that could result in a maximum of 3.6 million shares available to vest if all PSU performance conditions are met. Forfeitures are recognized as they occur.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Fair Value Assumptions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RSU and PSU Grants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RSU and PSU awards with a performance condition is determined based upon the closing price of the Company’s stock price on the grant date. The fair value of PSU awards with a market condition is estimated using a Monte Carlo simulation model on the grant date.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ESPP - Black-Scholes-Merton Model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ESPP purchase rights issued is estimated at the grant date of the purchase rights using the Black-Scholes-Merton option pricing model. The Black-Scholes-Merton option pricing model requires the input of assumptions such as the expected stock price volatility and the expected period until options are exercised. Purchase rights under the ESPP are generally granted on either June 1st or December 1st of each year.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ESPP purchase rights have been estimated at the grant date using a Black-Scholes-Merton option pricing model with the following weighted average assumptions:</w:t>
      </w:r>
    </w:p>
    <w:tbl>
      <w:tblPr>
        <w:tblW w:w="7368" w:type="dxa"/>
        <w:jc w:val="left"/>
        <w:tblInd w:w="0" w:type="dxa"/>
        <w:tblLayout w:type="fixed"/>
        <w:tblCellMar>
          <w:top w:w="28" w:type="dxa"/>
          <w:left w:w="28" w:type="dxa"/>
          <w:bottom w:w="28" w:type="dxa"/>
          <w:right w:w="28" w:type="dxa"/>
        </w:tblCellMar>
      </w:tblPr>
      <w:tblGrid>
        <w:gridCol w:w="1299"/>
        <w:gridCol w:w="1141"/>
        <w:gridCol w:w="1145"/>
        <w:gridCol w:w="211"/>
        <w:gridCol w:w="616"/>
        <w:gridCol w:w="271"/>
        <w:gridCol w:w="109"/>
        <w:gridCol w:w="109"/>
        <w:gridCol w:w="109"/>
        <w:gridCol w:w="211"/>
        <w:gridCol w:w="616"/>
        <w:gridCol w:w="271"/>
        <w:gridCol w:w="109"/>
        <w:gridCol w:w="109"/>
        <w:gridCol w:w="109"/>
        <w:gridCol w:w="211"/>
        <w:gridCol w:w="406"/>
        <w:gridCol w:w="316"/>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expected term (in years)</w:t>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 Repurchase Program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announced that its Board of Directors had approved a $6.0 billion (exclusive of fees and commissions) share repurchase program (the “Repurchase Program”). The acquisition of shares under the Repurchase Program may be effected from time to time through open market purchases (including under a plan adopted pursuant to Rule 10b5-1 promulgated under the Securities Exchange Act of 1934) or other methods of acquiring shares, in each case on such terms and at such times as shall be permitted by applicable securities laws and determined by the Company’s management. The Company expects shares repurchased under the Repurchase Program to be funded by operating cash flows. The amount and timing of share repurchases will depend on market conditions and other relevant factors. The Company may suspend or discontinue the Repurchase Program at any time. The approval of the Repurchase Program does not obligate the Company to repurchase any common shares. During the year ended July 3, 2026, we repurchased $3 million shares of our common stock for an aggregate purchase price of $4.5 billion, and $1.5 billion remained available for future repurchases under the Repurchase Program as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13.     Net Income (Loss) per Common Share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separation was executed through WDC’s pro rata distribution of 80.1% of the outstanding shares of common stock of the Company to holders of WDC’s common stock as of February 21, 2025. On the separation date, the Company issued 145 million shares of common stock, par value $0.01 per share. This share amount is utilized for the calculation of basic and diluted net income (loss) per share for all periods presented prior to the separation, and these shares are treated as issued and outstanding for purposes of calculating historical diluted net income (loss) per share. For periods prior to the separation, it is assumed that there were no dilutive equity instruments as there were no equity awards of Sandisk outstanding prior to the separation.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income (loss) per common share:</w:t>
      </w:r>
    </w:p>
    <w:tbl>
      <w:tblPr>
        <w:tblW w:w="6866" w:type="dxa"/>
        <w:jc w:val="left"/>
        <w:tblInd w:w="0" w:type="dxa"/>
        <w:tblLayout w:type="fixed"/>
        <w:tblCellMar>
          <w:top w:w="28" w:type="dxa"/>
          <w:left w:w="28" w:type="dxa"/>
          <w:bottom w:w="28" w:type="dxa"/>
          <w:right w:w="28" w:type="dxa"/>
        </w:tblCellMar>
      </w:tblPr>
      <w:tblGrid>
        <w:gridCol w:w="1162"/>
        <w:gridCol w:w="1019"/>
        <w:gridCol w:w="1028"/>
        <w:gridCol w:w="211"/>
        <w:gridCol w:w="721"/>
        <w:gridCol w:w="109"/>
        <w:gridCol w:w="109"/>
        <w:gridCol w:w="109"/>
        <w:gridCol w:w="109"/>
        <w:gridCol w:w="211"/>
        <w:gridCol w:w="691"/>
        <w:gridCol w:w="109"/>
        <w:gridCol w:w="109"/>
        <w:gridCol w:w="109"/>
        <w:gridCol w:w="109"/>
        <w:gridCol w:w="211"/>
        <w:gridCol w:w="58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For the year ended July 3, 2026, an insignificant number of weighted average outstanding awards were excluded from the calculation of diluted net income per share because their effect would have been anti-dilutive. For the year ended June 27, 2025, 2 million weighted average outstanding awards were excluded from the calculation of the diluted net income per share because their effect would have been anti-dilutive.</w:t>
      </w:r>
    </w:p>
    <w:p>
      <w:pPr>
        <w:pStyle w:val="TextBody"/>
        <w:bidi w:val="0"/>
        <w:spacing w:lineRule="auto" w:line="288" w:before="0" w:after="12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For the years ended June 27, 2025 and June 28, 2024, the Company recorded a net loss. Accordingly, the potential dilution from all equity awards would be anti-dilutive. As a result, basic net loss per share is equal to diluted net loss per share for such periods. For the year ended June 28, 2024, it was also assumed that there are no dilutive equity instruments as there were no equity awards of Sandisk outstanding prior to the separation.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computed using (i) net income (loss) divided by (ii) weighted average basic shares outstanding. Diluted net income (loss) per share is computed as (i) net income (loss) divided by (ii) weighted average diluted shares outstanding. The treasury stock method is used to determine the dilutive impact of unvested equity awards.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include dilutive outstanding employee RSUs, PSUs, and rights to purchase shares of common stock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14.    Income Tax Expense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(Loss) Before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domestic and foreign components of Income (loss) before taxes were as follows:</w:t>
      </w:r>
    </w:p>
    <w:tbl>
      <w:tblPr>
        <w:tblW w:w="5832" w:type="dxa"/>
        <w:jc w:val="left"/>
        <w:tblInd w:w="0" w:type="dxa"/>
        <w:tblLayout w:type="fixed"/>
        <w:tblCellMar>
          <w:top w:w="28" w:type="dxa"/>
          <w:left w:w="28" w:type="dxa"/>
          <w:bottom w:w="28" w:type="dxa"/>
          <w:right w:w="28" w:type="dxa"/>
        </w:tblCellMar>
      </w:tblPr>
      <w:tblGrid>
        <w:gridCol w:w="802"/>
        <w:gridCol w:w="704"/>
        <w:gridCol w:w="714"/>
        <w:gridCol w:w="211"/>
        <w:gridCol w:w="721"/>
        <w:gridCol w:w="109"/>
        <w:gridCol w:w="109"/>
        <w:gridCol w:w="109"/>
        <w:gridCol w:w="109"/>
        <w:gridCol w:w="211"/>
        <w:gridCol w:w="691"/>
        <w:gridCol w:w="109"/>
        <w:gridCol w:w="109"/>
        <w:gridCol w:w="109"/>
        <w:gridCol w:w="109"/>
        <w:gridCol w:w="211"/>
        <w:gridCol w:w="54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were as follows:</w:t>
      </w:r>
    </w:p>
    <w:tbl>
      <w:tblPr>
        <w:tblW w:w="4931" w:type="dxa"/>
        <w:jc w:val="left"/>
        <w:tblInd w:w="0" w:type="dxa"/>
        <w:tblLayout w:type="fixed"/>
        <w:tblCellMar>
          <w:top w:w="28" w:type="dxa"/>
          <w:left w:w="28" w:type="dxa"/>
          <w:bottom w:w="28" w:type="dxa"/>
          <w:right w:w="28" w:type="dxa"/>
        </w:tblCellMar>
      </w:tblPr>
      <w:tblGrid>
        <w:gridCol w:w="645"/>
        <w:gridCol w:w="536"/>
        <w:gridCol w:w="543"/>
        <w:gridCol w:w="211"/>
        <w:gridCol w:w="616"/>
        <w:gridCol w:w="109"/>
        <w:gridCol w:w="109"/>
        <w:gridCol w:w="109"/>
        <w:gridCol w:w="109"/>
        <w:gridCol w:w="211"/>
        <w:gridCol w:w="466"/>
        <w:gridCol w:w="109"/>
        <w:gridCol w:w="109"/>
        <w:gridCol w:w="109"/>
        <w:gridCol w:w="109"/>
        <w:gridCol w:w="211"/>
        <w:gridCol w:w="46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H.R. 1, more widely known as the One Big Beautiful Bill Act (“OBBBA”), was signed into law on July 4, 2025. It reversed the requirement for capitalization of U.S. research and development expenditures that came into law under the Tax Cuts and Jobs Act of 2017, but the mandatory requirement of capitalization of foreign research and development expenditures remains. The tax rates for income earned by the Company’s foreign subsidiaries will also be changed under H.R. 1. Depending on the Company’s operating results, these changes can materially impact the Company’s effective tax rate and reduce its operating cash flows. During the year ended July 3, 2026, the Company recorded a $10 million tax benefit in relation to the OBBBA’s impact on its 2025 tax provision.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Company does not expect to be subject to the CAMT of 15% for fiscal year 2026 as its average annual AFSI did not exceed $1.0 billion for the preceding three-year period.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20, 2021, the Organisation for Economic Co-operation and Development G20 Inclusive Framework on Base Erosion and Profit Shifting released Model Global Anti-Base Erosion rules under Pillar Two (“Pillar Two”). Pillar Two is currently effective in most of the jurisdictions in which the Company operates. Accordingly, these taxes are included in the Company’s Income tax expense for the year ended July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Income tax expense and the effective tax rate:</w:t>
      </w:r>
    </w:p>
    <w:tbl>
      <w:tblPr>
        <w:tblW w:w="6317" w:type="dxa"/>
        <w:jc w:val="left"/>
        <w:tblInd w:w="0" w:type="dxa"/>
        <w:tblLayout w:type="fixed"/>
        <w:tblCellMar>
          <w:top w:w="28" w:type="dxa"/>
          <w:left w:w="28" w:type="dxa"/>
          <w:bottom w:w="28" w:type="dxa"/>
          <w:right w:w="28" w:type="dxa"/>
        </w:tblCellMar>
      </w:tblPr>
      <w:tblGrid>
        <w:gridCol w:w="803"/>
        <w:gridCol w:w="705"/>
        <w:gridCol w:w="711"/>
        <w:gridCol w:w="211"/>
        <w:gridCol w:w="721"/>
        <w:gridCol w:w="271"/>
        <w:gridCol w:w="109"/>
        <w:gridCol w:w="109"/>
        <w:gridCol w:w="109"/>
        <w:gridCol w:w="211"/>
        <w:gridCol w:w="691"/>
        <w:gridCol w:w="271"/>
        <w:gridCol w:w="109"/>
        <w:gridCol w:w="109"/>
        <w:gridCol w:w="109"/>
        <w:gridCol w:w="211"/>
        <w:gridCol w:w="54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relative mix of earnings and losses by jurisdiction, foreign-derived deduction-eligible income, credits, and tax holidays in Malaysia that will expire at various dates during years 2028 through 2031 resulted in decreases to the effective tax rate below the U.S. statutory rate for the year ended July 3,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the year ended June 27, 2025 and the U.S. federal statutory rate of 21% are the relative mix of earnings and losses by jurisdiction, the goodwill impairment, the foreign income inclusion, credits, and tax holidays in Malaysia.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the year ended June 28, 2024 and the U.S. Federal statutory rate of 21% are the relative mix of earnings and losses by jurisdiction, the foreign income inclusion, credits, and tax holidays in Malaysia.</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Temporary differences and carryforwards, which give rise to a significant portion of deferred tax assets and liabilities were as follows:</w:t>
      </w:r>
    </w:p>
    <w:tbl>
      <w:tblPr>
        <w:tblW w:w="7577" w:type="dxa"/>
        <w:jc w:val="left"/>
        <w:tblInd w:w="0" w:type="dxa"/>
        <w:tblLayout w:type="fixed"/>
        <w:tblCellMar>
          <w:top w:w="28" w:type="dxa"/>
          <w:left w:w="28" w:type="dxa"/>
          <w:bottom w:w="28" w:type="dxa"/>
          <w:right w:w="28" w:type="dxa"/>
        </w:tblCellMar>
      </w:tblPr>
      <w:tblGrid>
        <w:gridCol w:w="2046"/>
        <w:gridCol w:w="1794"/>
        <w:gridCol w:w="1800"/>
        <w:gridCol w:w="211"/>
        <w:gridCol w:w="436"/>
        <w:gridCol w:w="109"/>
        <w:gridCol w:w="109"/>
        <w:gridCol w:w="109"/>
        <w:gridCol w:w="109"/>
        <w:gridCol w:w="248"/>
        <w:gridCol w:w="425"/>
        <w:gridCol w:w="181"/>
      </w:tblGrid>
      <w:tr>
        <w:trPr/>
        <w:tc>
          <w:tcPr>
            <w:tcW w:w="204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related reserves and accrued expenses not currently deductible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not currently deductible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credit carryforward</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hedging costs not currently deductible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 of certain non-U.S. entities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equity securities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w:t>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the net deferred tax assets is attributable primarily to unrealized gain on marketable securities, offset by a decrease in deferred tax liabilities on undistributed foreign earnings.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its deferred tax assets except for certain loss and credit generated and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permanently reinvested with respect to certain foreign earnings. There is no unrecognized deferred tax liability associated with the repatriation of these foreign undistributed earnings.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Adoption of Recently Issued Accounting Pronouncement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incremental disclosures required by ASU 2023-09, “Income Taxes (Topic 740): Improvements to Income Tax Disclosures,” which includes disaggregation of information in the rate reconciliation and income taxes paid, were adopted by the Company on a prospective basis for the year ending July 3, 2026.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Effective Tax Rate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Reconciliation of the U.S. federal statutory rate to the Company’s effective tax rate for fiscal year 2026 is as follows:</w:t>
      </w:r>
    </w:p>
    <w:tbl>
      <w:tblPr>
        <w:tblW w:w="8028" w:type="dxa"/>
        <w:jc w:val="left"/>
        <w:tblInd w:w="0" w:type="dxa"/>
        <w:tblLayout w:type="fixed"/>
        <w:tblCellMar>
          <w:top w:w="28" w:type="dxa"/>
          <w:left w:w="28" w:type="dxa"/>
          <w:bottom w:w="28" w:type="dxa"/>
          <w:right w:w="28" w:type="dxa"/>
        </w:tblCellMar>
      </w:tblPr>
      <w:tblGrid>
        <w:gridCol w:w="1876"/>
        <w:gridCol w:w="1653"/>
        <w:gridCol w:w="1660"/>
        <w:gridCol w:w="341"/>
        <w:gridCol w:w="997"/>
        <w:gridCol w:w="176"/>
        <w:gridCol w:w="109"/>
        <w:gridCol w:w="109"/>
        <w:gridCol w:w="109"/>
        <w:gridCol w:w="222"/>
        <w:gridCol w:w="198"/>
        <w:gridCol w:w="578"/>
      </w:tblGrid>
      <w:tr>
        <w:trPr/>
        <w:tc>
          <w:tcPr>
            <w:tcW w:w="187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USD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percent</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 net of federal income tax effect</w:t>
            </w:r>
            <w:r>
              <w:rPr>
                <w:rFonts w:ascii="Times New Roman;serif" w:hAnsi="Times New Roman;serif"/>
                <w:b w:val="false"/>
                <w:color w:val="000000"/>
                <w:sz w:val="13"/>
              </w:rPr>
              <w:t>(1)</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holiday exempt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and law change</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Deduction-Eligible Income</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Foreign Tested Income</w:t>
            </w:r>
            <w:r>
              <w:rPr>
                <w:rFonts w:ascii="Times New Roman;serif" w:hAnsi="Times New Roman;serif"/>
                <w:b w:val="false"/>
                <w:color w:val="000000"/>
                <w:sz w:val="13"/>
              </w:rPr>
              <w:t>(2)</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tax benefits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State taxes in Arizona, Florida, Illinois and Pennsylvania make up the majority of the tax effect in fiscal year 2026.</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U.S. companies are subject to a lower tax rate on certain income earned by its foreign subsidiaries. This regime is referred to as the Net Controlled Foreign Corporation Tested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Reconciliation of the U.S. federal statutory rate to the Company’s effective tax rate in 2025 and 2024 is as follows:</w:t>
      </w:r>
    </w:p>
    <w:tbl>
      <w:tblPr>
        <w:tblW w:w="6163" w:type="dxa"/>
        <w:jc w:val="left"/>
        <w:tblInd w:w="0" w:type="dxa"/>
        <w:tblLayout w:type="fixed"/>
        <w:tblCellMar>
          <w:top w:w="28" w:type="dxa"/>
          <w:left w:w="28" w:type="dxa"/>
          <w:bottom w:w="28" w:type="dxa"/>
          <w:right w:w="28" w:type="dxa"/>
        </w:tblCellMar>
      </w:tblPr>
      <w:tblGrid>
        <w:gridCol w:w="1567"/>
        <w:gridCol w:w="1381"/>
        <w:gridCol w:w="1387"/>
        <w:gridCol w:w="216"/>
        <w:gridCol w:w="219"/>
        <w:gridCol w:w="292"/>
        <w:gridCol w:w="109"/>
        <w:gridCol w:w="109"/>
        <w:gridCol w:w="109"/>
        <w:gridCol w:w="216"/>
        <w:gridCol w:w="219"/>
        <w:gridCol w:w="339"/>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percent</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differential on international incomes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U.S. foreign income inclusion</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U.S. foreign derived intangible income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permanent differences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goodwill impairment</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intangible assets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change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 of certain non-U.S. entities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uncertain tax positions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credits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credits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audit settlements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for the year ended July 3, 2026 is as follows:</w:t>
      </w:r>
    </w:p>
    <w:tbl>
      <w:tblPr>
        <w:tblW w:w="1965" w:type="dxa"/>
        <w:jc w:val="left"/>
        <w:tblInd w:w="0" w:type="dxa"/>
        <w:tblLayout w:type="fixed"/>
        <w:tblCellMar>
          <w:top w:w="28" w:type="dxa"/>
          <w:left w:w="28" w:type="dxa"/>
          <w:bottom w:w="28" w:type="dxa"/>
          <w:right w:w="28" w:type="dxa"/>
        </w:tblCellMar>
      </w:tblPr>
      <w:tblGrid>
        <w:gridCol w:w="341"/>
        <w:gridCol w:w="299"/>
        <w:gridCol w:w="306"/>
        <w:gridCol w:w="295"/>
        <w:gridCol w:w="507"/>
        <w:gridCol w:w="217"/>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0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Tax Holidays and Carryforwards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substantial portion of the Company’s manufacturing operations in Malaysia operate under various tax holidays and tax incentive programs, which will expire in whole or in part at various dates during fiscal years 2028 through 2031.</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net impact of these tax holidays and tax incentives was an increase to the Company’s net earnings by $492 million, or 3.18 per share, in 2026 and $82 million, or 0.57 per share, in 2025. The Company was at a loss in Malaysia during 2024. The tax incentives had no impact on the Company’s net earnings in 2024.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and June 27, 2025, the Company had $95 million and $38 million, respectively, of state tax credit carryforwards that do not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and June 27, 2025, the Company had varying amounts of NOL carryforwards, totaling $0.3 billion, and $2.1 billion, respectively, that do not expire or, if not used, expire in various years beginning in 2028, depending on the country. The majority of the NOL carryforwards reside in Malaysia.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the exception of certain unrecognized tax benefits that are directly associated with the tax position taken, unrecognized tax benefits are presented gross in the Consolidated Balance Sheets.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tabular reconciliation of the total amounts of unrecognized tax benefits, excluding accrued interest and penalties for the year ended July 3, 2026:</w:t>
      </w:r>
    </w:p>
    <w:tbl>
      <w:tblPr>
        <w:tblW w:w="8456" w:type="dxa"/>
        <w:jc w:val="left"/>
        <w:tblInd w:w="0" w:type="dxa"/>
        <w:tblLayout w:type="fixed"/>
        <w:tblCellMar>
          <w:top w:w="28" w:type="dxa"/>
          <w:left w:w="28" w:type="dxa"/>
          <w:bottom w:w="28" w:type="dxa"/>
          <w:right w:w="28" w:type="dxa"/>
        </w:tblCellMar>
      </w:tblPr>
      <w:tblGrid>
        <w:gridCol w:w="1996"/>
        <w:gridCol w:w="1749"/>
        <w:gridCol w:w="1759"/>
        <w:gridCol w:w="211"/>
        <w:gridCol w:w="466"/>
        <w:gridCol w:w="109"/>
        <w:gridCol w:w="109"/>
        <w:gridCol w:w="109"/>
        <w:gridCol w:w="109"/>
        <w:gridCol w:w="211"/>
        <w:gridCol w:w="466"/>
        <w:gridCol w:w="109"/>
        <w:gridCol w:w="109"/>
        <w:gridCol w:w="109"/>
        <w:gridCol w:w="109"/>
        <w:gridCol w:w="211"/>
        <w:gridCol w:w="361"/>
        <w:gridCol w:w="154"/>
      </w:tblGrid>
      <w:tr>
        <w:trPr/>
        <w:tc>
          <w:tcPr>
            <w:tcW w:w="199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beginning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prior year tax positions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current year tax positions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related to prior year tax positions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related to lapse of statute of limitations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related to transfer from Western Digital Corporation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related to settlement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ending</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 2026 and June 27, 2025, the liability for unrecognized tax benefits (excluding accrued interest and penalties) was $323 million and $140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July 3, 2026 and June 27, 2025 was $16 million and $11 million, respectively.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U.S. federal, U.S. state, and foreign tax returns. The Company is currently subject to, or could become subject to, tax authority examinations in various jurisdictions for previously filed returns dating back as early as 2009.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relating to the examination of the Company’s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15.    Legal Proceedings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is subject to legal proceedings, lawsuits and other claims. Although the ultimate aggregate amount of reasonably possible monetary liability or financial impact with respect to these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 During the 2026 fiscal year, the Company recognized $93 million related to legal settlements in Other income/(expense), net. Amounts recognized in relation to legal matters were immaterial for fiscal years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620"/>
        <w:jc w:val="left"/>
        <w:rPr>
          <w:rFonts w:ascii="Times New Roman;serif" w:hAnsi="Times New Roman;serif"/>
          <w:b/>
          <w:color w:val="000000"/>
          <w:sz w:val="20"/>
        </w:rPr>
      </w:pPr>
      <w:r>
        <w:rPr>
          <w:rFonts w:ascii="Times New Roman;serif" w:hAnsi="Times New Roman;serif"/>
          <w:b/>
          <w:color w:val="000000"/>
          <w:sz w:val="20"/>
        </w:rPr>
        <w:t>Note 16.    Summarized Financial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Rule 4-08(g) of Regulation S-X under the Securities Act of 1933, as amended, the Company presents, on an equity method basis, summarized financial information for its non-consolidated joint ventures, including the Flash Ventures, the Unis Venture, and SDSS. The summarized financial information below includes the portions attributable to both the Company and the other investees in these entities.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has been an investor in the Flash Ventures for all periods presented. The Company’s investment in SDSS was established upon the divestiture of the business on September 28, 2024, and its investment in the Unis Venture was transferred to the Company on January 24, 2025, See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 xml:space="preserve">for additional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summarized financial information of these ventures for the years ended July 3, 2026 and June 27, 2025 includes the results of Flash Ventures, the Unis Venture, and SDSS; whereas the comparative period for the year ended June 28, 2024, include only the Flash Ventures.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summarized financial information for these periods:</w:t>
      </w:r>
    </w:p>
    <w:tbl>
      <w:tblPr>
        <w:tblW w:w="4674" w:type="dxa"/>
        <w:jc w:val="left"/>
        <w:tblInd w:w="0" w:type="dxa"/>
        <w:tblLayout w:type="fixed"/>
        <w:tblCellMar>
          <w:top w:w="28" w:type="dxa"/>
          <w:left w:w="28" w:type="dxa"/>
          <w:bottom w:w="28" w:type="dxa"/>
          <w:right w:w="28" w:type="dxa"/>
        </w:tblCellMar>
      </w:tblPr>
      <w:tblGrid>
        <w:gridCol w:w="879"/>
        <w:gridCol w:w="772"/>
        <w:gridCol w:w="779"/>
        <w:gridCol w:w="211"/>
        <w:gridCol w:w="616"/>
        <w:gridCol w:w="109"/>
        <w:gridCol w:w="109"/>
        <w:gridCol w:w="109"/>
        <w:gridCol w:w="109"/>
        <w:gridCol w:w="211"/>
        <w:gridCol w:w="61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equity of investees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437" w:type="dxa"/>
        <w:jc w:val="left"/>
        <w:tblInd w:w="0" w:type="dxa"/>
        <w:tblLayout w:type="fixed"/>
        <w:tblCellMar>
          <w:top w:w="28" w:type="dxa"/>
          <w:left w:w="28" w:type="dxa"/>
          <w:bottom w:w="28" w:type="dxa"/>
          <w:right w:w="28" w:type="dxa"/>
        </w:tblCellMar>
      </w:tblPr>
      <w:tblGrid>
        <w:gridCol w:w="337"/>
        <w:gridCol w:w="295"/>
        <w:gridCol w:w="298"/>
        <w:gridCol w:w="211"/>
        <w:gridCol w:w="616"/>
        <w:gridCol w:w="109"/>
        <w:gridCol w:w="109"/>
        <w:gridCol w:w="109"/>
        <w:gridCol w:w="109"/>
        <w:gridCol w:w="211"/>
        <w:gridCol w:w="616"/>
        <w:gridCol w:w="109"/>
        <w:gridCol w:w="109"/>
        <w:gridCol w:w="109"/>
        <w:gridCol w:w="109"/>
        <w:gridCol w:w="211"/>
        <w:gridCol w:w="61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announced that its Board of Directors had approved a $14.0 billion (exclusive of fees and commissions) share repurchase program (the “Repurchase Program”). The acquisition of shares under the Repurchase Program may be effected from time to time through open market purchases (including under a plan adopted pursuant to Rule 10b5-1 promulgated under the Securities Exchange Act of 1934) or other methods of acquiring shares, in each case on such terms and at such times as shall be permitted by applicable securities laws and determined by the Company’s management. The Company expects shares repurchased under the Repurchase Program to be funded by operating cash flows. The amount and timing of share repurchases will depend on market conditions and other relevant factors. The Company may suspend or discontinue the Repurchase Program at any time. The approval of the Repurchase Program does not obligate the Company to repurchase any common shares.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New Business Model Agreements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balance sheet date, the Company entered into two additional NBMs with an aggregate transaction price of $31.3 billion.These agreements provide for customer purchase commitments for specified product volumes over multi-year periods. Consistent with the Company's other NBMs, customer obligations are supported by financial guarantees, including cash deposits and other financial instruments, that are intended to protect the Company in the event a customer fails to satisfy its contractual purchase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9A.    </w:t>
      </w:r>
      <w:r>
        <w:rPr>
          <w:rFonts w:ascii="Times New Roman;serif" w:hAnsi="Times New Roman;serif"/>
          <w:b/>
          <w:i/>
          <w:color w:val="000000"/>
          <w:sz w:val="20"/>
        </w:rPr>
        <w:t>Controls and Procedures</w:t>
      </w:r>
    </w:p>
    <w:p>
      <w:pPr>
        <w:pStyle w:val="TextBody"/>
        <w:bidi w:val="0"/>
        <w:spacing w:lineRule="auto" w:line="288" w:before="0" w:after="120"/>
        <w:ind w:left="0" w:right="0" w:firstLine="180"/>
        <w:jc w:val="left"/>
        <w:rPr/>
      </w:pPr>
      <w:r>
        <w:rPr>
          <w:rFonts w:ascii="Times New Roman;serif" w:hAnsi="Times New Roman;serif"/>
          <w:b/>
          <w:i/>
          <w:color w:val="000000"/>
          <w:sz w:val="20"/>
        </w:rPr>
        <w:t>Evaluation of Disclosure Controls and Procedure</w:t>
      </w:r>
      <w:r>
        <w:rPr>
          <w:rFonts w:ascii="Times New Roman;serif" w:hAnsi="Times New Roman;serif"/>
          <w:b w:val="false"/>
          <w:i/>
          <w:color w:val="000000"/>
          <w:sz w:val="20"/>
        </w:rPr>
        <w: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by the U.S.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10-K. Based on that evaluation, our Chief Executive Officer and Chief Financial Officer concluded that, as of the end of the period covered by this Annual Report on Form 10-K, our disclosure controls and procedures were effective.</w:t>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Management’s Report on Internal Control over Financial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w:t>
        <w:noBreakHyphen/>
        <w:t>15(f) and 15d</w:t>
        <w:noBreakHyphen/>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evaluated the effectiveness of our internal control over financial reporting using the criteria set forth by the Committee of Sponsoring Organizations of the Treadway Commission (COSO) in Internal Control – Integrated Framework (2013). Based on this evaluation, our management concluded that our internal control over financial reporting was effective as of the end of the period covered by this Annual Report on Form 10</w:t>
        <w:noBreakHyphen/>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Changes in Internal Control over Financial Reporting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9B.    </w:t>
      </w:r>
      <w:r>
        <w:rPr>
          <w:rFonts w:ascii="Times New Roman;serif" w:hAnsi="Times New Roman;serif"/>
          <w:b/>
          <w:i/>
          <w:color w:val="000000"/>
          <w:sz w:val="20"/>
        </w:rPr>
        <w:t>Other Information</w:t>
      </w:r>
      <w:r>
        <w:rPr>
          <w:color w:val="000000"/>
        </w:rPr>
        <w:t xml:space="preserve">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than as set forth below, none of our officers (as defined in Rule 16a-1(f) of the Exchange Act) or directors adopted during our last fiscal quarter trading arrangements for the purchase or sale of securities of Sandisk Corporation that are intended to satisfy the affirmative defense conditions of Rule 10b5-1(c) of the Exchange Act (“Rule 10b5-1 Plan”):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Alper Ilkbahar, Executive Vice President, Chief Technology Officer of the Company, terminated a Rule 10b5-1 Plan on May 21, 2026, which was initially adopted on February 27, 2026. As of the date of termination of the Rule 10b5-1 Trading Plan, no shares of common stock had been sold under this Rule 10b5-1 Plan. For additional details about the material terms of this arrangement, refer to the description under the heading “Insider Trading Arrangements” contained in Part II, Item 5. Other Information of our Quarterly Report on Form 10-Q for the quarter ended March 31, 2026, which is incorporated herein by reference.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Luis Visoso, Chief Financial Officer of the Company, adopted a Rule 10b5-1 Plan on May 22, 2026. The maximum amount of shares that may be sold before the plan expires on August 14, 2027, is expected to be up to an aggregate of 11,000 shares of the Company’s common stock.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David Goeckeler, Chief Executive Officer of the Company, adopted a Rule 10b5-1 Plan on May 29, 2026. The aggregate number of shares that will be available for sale under his plan is not yet determinable because a portion of the shares will be withheld to satisfy tax withholding obligations at an approximate rate of 45%. The maximum amount of shares that may be sold before the plan expires on September 30, 2027, is expected to be up to an aggregate of 124,192 shares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Alper Ilkbahar, Executive Vice President, Chief Technology Officer of the Company, adopted a Rule 10b5-1 Plan on June 4, 2026. The maximum amount of shares that may be sold before the plan expires on December 31, 2026, is expected to be up to an aggregate of 6,270 shares of the Company’s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10.    </w:t>
      </w:r>
      <w:r>
        <w:rPr>
          <w:rFonts w:ascii="Times New Roman;serif" w:hAnsi="Times New Roman;serif"/>
          <w:b/>
          <w:i/>
          <w:color w:val="000000"/>
          <w:sz w:val="20"/>
        </w:rPr>
        <w:t>Directors, Executive Officers and Corporate Governance</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information required by this Item is incorporated herein by reference to the Company’s Proxy Statement for the 2026 Annual Meeting of Stockholders, which we intend to file with the U.S. Securities and Exchange Commission (“SEC”) no later than 120 days after the close of the fiscal year ended July 3, 2026.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Times New Roman;serif" w:hAnsi="Times New Roman;serif"/>
          <w:b w:val="false"/>
          <w:i/>
          <w:color w:val="000000"/>
          <w:sz w:val="20"/>
        </w:rPr>
        <w:t>www.sandisk.com</w:t>
      </w:r>
      <w:r>
        <w:rPr>
          <w:rFonts w:ascii="Times New Roman;serif" w:hAnsi="Times New Roman;serif"/>
          <w:b w:val="false"/>
          <w:color w:val="000000"/>
          <w:sz w:val="20"/>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Times New Roman;serif" w:hAnsi="Times New Roman;serif"/>
          <w:b w:val="false"/>
          <w:i/>
          <w:color w:val="000000"/>
          <w:sz w:val="20"/>
        </w:rPr>
        <w:t>www.sandisk.com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11.    </w:t>
      </w:r>
      <w:r>
        <w:rPr>
          <w:rFonts w:ascii="Times New Roman;serif" w:hAnsi="Times New Roman;serif"/>
          <w:b/>
          <w:i/>
          <w:color w:val="000000"/>
          <w:sz w:val="20"/>
        </w:rPr>
        <w:t>Executive Compensation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2026 Annual Meeting of Stockholders, which we intend to file with the SEC no later than 120 days after the close of the fiscal year ended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12.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2026 Annual Meeting of Stockholders, which we intend to file with the SEC no later than 120 days after the close of the fiscal year ended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2026 Annual Meeting of Stockholders, which we intend to file with the SEC no later than 120 days after the close of the fiscal year ended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14.    </w:t>
      </w:r>
      <w:r>
        <w:rPr>
          <w:rFonts w:ascii="Times New Roman;serif" w:hAnsi="Times New Roman;serif"/>
          <w:b/>
          <w:i/>
          <w:color w:val="000000"/>
          <w:sz w:val="20"/>
        </w:rPr>
        <w:t>Principal Accountant Fees and Services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2026 Annual Meeting of Stockholders, which we intend to file with the SEC no later than 120 days after the close of the fiscal year ended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    </w:t>
      </w:r>
      <w:r>
        <w:rPr>
          <w:rFonts w:ascii="Times New Roman;serif" w:hAnsi="Times New Roman;serif"/>
          <w:b/>
          <w:i/>
          <w:color w:val="000000"/>
          <w:sz w:val="20"/>
        </w:rPr>
        <w:t>Exhibits and Financial Statement Schedules</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Annual Report on Form 10</w:t>
        <w:noBreakHyphen/>
        <w:t>K:</w:t>
      </w:r>
    </w:p>
    <w:p>
      <w:pPr>
        <w:pStyle w:val="TextBody"/>
        <w:bidi w:val="0"/>
        <w:spacing w:lineRule="auto" w:line="288" w:before="0" w:after="120"/>
        <w:ind w:left="0" w:right="0" w:hanging="27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financial statements included in Part II, Item 8 of this document are filed as part of this Annual Report on Form 10</w:t>
        <w:noBreakHyphen/>
        <w:t>K.</w:t>
      </w:r>
    </w:p>
    <w:p>
      <w:pPr>
        <w:pStyle w:val="TextBody"/>
        <w:bidi w:val="0"/>
        <w:spacing w:lineRule="auto" w:line="288" w:before="0" w:after="120"/>
        <w:ind w:left="0" w:right="0" w:hanging="27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 xml:space="preserve">Financial Statement Schedules. </w:t>
      </w:r>
      <w:r>
        <w:rPr>
          <w:rFonts w:ascii="Times New Roman;serif" w:hAnsi="Times New Roman;serif"/>
          <w:b w:val="false"/>
          <w:color w:val="000000"/>
          <w:sz w:val="20"/>
        </w:rPr>
        <w:t>All schedules are omitted as the required information is immaterial, inapplicable or the information is presented in the Consolidated Financial Statements or related Notes.</w:t>
      </w:r>
    </w:p>
    <w:p>
      <w:pPr>
        <w:pStyle w:val="TextBody"/>
        <w:bidi w:val="0"/>
        <w:spacing w:lineRule="auto" w:line="288" w:before="0" w:after="120"/>
        <w:ind w:left="0" w:right="0" w:hanging="27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i/>
          <w:color w:val="000000"/>
          <w:sz w:val="20"/>
        </w:rPr>
        <w:t>Exhibits.</w:t>
      </w:r>
      <w:r>
        <w:rPr>
          <w:color w:val="000000"/>
        </w:rPr>
        <w:t xml:space="preserve"> </w:t>
      </w:r>
      <w:r>
        <w:rPr>
          <w:rFonts w:ascii="Times New Roman;serif" w:hAnsi="Times New Roman;serif"/>
          <w:b w:val="false"/>
          <w:color w:val="000000"/>
          <w:sz w:val="20"/>
        </w:rPr>
        <w:t>The exhibits listed in the Exhibit Index below are filed with, or incorporated by reference in, this Annual Report on Form 10</w:t>
        <w:noBreakHyphen/>
        <w:t xml:space="preserve">K, as specified in the Exhibit List, from exhibits previously filed with the SEC.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693"/>
        <w:gridCol w:w="2671"/>
        <w:gridCol w:w="38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16"/>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Separation and Distribution Agreement, dated as of February 21, 2025, by and between Western Digital Corporation and Sandisk Corporation (incorporated by reference to Exhibit 2.1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6"/>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 of Sandisk Corporation (incorporated by reference to Exhibit 3.1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6"/>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Bylaws of Sandisk Corporation (incorporated by reference to Exhibit 3.1 to the Company’s Current Report on Form 8-K dated February 14,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and Registration Rights Agreement, dated as of February 21, 2025, by and between Western Digital Corporation and Sandisk Corporation (incorporated by reference to Exhibit 10.6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Sandisk Corporation’s Capital Stock (incorporated by reference to Exhibit 4.2 to the Company’s Annual Report on Form 10</w:t>
              <w:noBreakHyphen/>
              <w:t>K for the year ended June 27, 2025, filed on August 21,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16"/>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Matters Agreement, dated as of February 21, 2025, by and between Western Digital Corporation and Sandisk Corporation (incorporated by reference to Exhibit 10.2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16"/>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Matters Agreement, dated as of February 21, 2025, by and between Western Digital Corporation and Sandisk Corporation (incorporated by reference to Exhibit 10.3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16"/>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Intellectual Property Cross-License Agreement, dated as of February 21, 2025, by and between Western Digital Corporation and Sandisk Corporation (incorporated by reference to Exhibit 10.4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16"/>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Transitional Trademark License Agreement, dated as of February 21, 2025, by and between Western Digital Corporation and Sandisk Corporation (incorporated by reference to Exhibit 10.5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16"/>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Loan Agreement, dated as of February 21, 2025, by and among Sandisk Corporation, each lender party thereto, JPMorgan Chase Bank, N.A., as administrative agent and collateral agent and the other parties party thereto (incorporated by reference to Exhibit 10.7 to the Company’s Current Report on Form 8-K dated February 24, 2025)# </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16"/>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Security Agreement, dated as of February 21, 2025, by and among Sandisk Corporation, Sandisk Technologies, Inc. and JPMorgan Chase Bank, N.A., as collateral agent (incorporated by reference to Exhibit 10.8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16"/>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Guaranty Agreement, dated as of February 21, 2025, by and among Sandisk Corporation, Sandisk Technologies, Inc. and JPMorgan Chase Bank, N.A., as administrative agent (incorporated by reference to Exhibit 10.9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16"/>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Flash Alliance, Master Agreement dated as of July 7, 2006, by and among SanDisk Corporation, Toshiba Corporation and SanDisk (Ireland) Limited (incorporated by reference to Exhibit 10.7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16"/>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Agreement of Flash Alliance, Ltd., dated as of July 7, 2006, by and between Toshiba Corporation and SanDisk (Ireland) Limited (incorporated by reference to Exhibit 10.8 to the Company’s Registration Statement on Form 10, filed on November 25,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16"/>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 Restructure Agreement, dated as of January 29, 2009, by and among SanDisk Corporation, SanDisk (Ireland) Limited, SanDisk (Cayman) Limited, Toshiba Corporation, Flash Partners Limited and Flash Alliance Limited (incorporated by reference to Exhibit 10.9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16"/>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Y2 Facility Agreement, dated October 20, 2015, by and among SanDisk Corporation, SanDisk (Ireland) Limited, SanDisk (Cayman) Limited, SanDisk Flash B.V., Toshiba Corporation, Flash Partners Limited, Flash Alliance Limited and Flash Forward Limited (incorporated by reference to Exhibit 10.10 to the Company’s Registration Statement on Form 10, filed on November 25,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16"/>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FAL Commitment and Extension Agreement, dated as of December 12, 2017, by and among Western Digital Corporation, SanDisk LLC, SanDisk (Ireland) Limited and Toshiba Memory Corporation (incorporated by reference to Exhibit 10.11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16"/>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Y6 Facility Agreement, dated as of December 12, 2017, by and among Western Digital Corporation, SanDisk LLC, SanDisk (Cayman) Limited, SanDisk (Ireland) Limited, SanDisk Flash B.V., Flash Partners, Ltd., Flash Alliance, Ltd., Flash Forward, Ltd. and Toshiba Memory Corporation (incorporated by reference to Exhibit 10.12 to the Company’s Registration Statement on Form 10, filed on November 25,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16"/>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K1 Facility Agreement, dated as of May 15, 2019, by and among Western Digital Corporation, SanDisk LLC, SanDisk (Cayman) Limited, SanDisk (Ireland) Limited, SanDisk Flash B.V., Flash Partners, Ltd., Flash Alliance, Ltd., Flash Forward Ltd., Toshiba Memory Corporation and Toshiba Memory Iwate Corporation (incorporated by reference to Exhibit 10.13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FF"/>
                  <w:sz w:val="16"/>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Confidential Settlement and Mutual Release Agreement, dated as of December 12, 2017, by and among Western Digital Corporation, SanDisk LLC, SanDisk (Cayman) Limited, SanDisk (Ireland) Limited, SanDisk Flash B.V., Toshiba Corporation and Toshiba Memory Corporation (incorporated by reference to Exhibit 10.14 to the Company’s Registration Statement on Form 10, filed on November 25,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0"/>
        <w:gridCol w:w="167"/>
        <w:gridCol w:w="169"/>
        <w:gridCol w:w="109"/>
        <w:gridCol w:w="109"/>
        <w:gridCol w:w="109"/>
        <w:gridCol w:w="2826"/>
        <w:gridCol w:w="2702"/>
        <w:gridCol w:w="382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16"/>
                  <w:u w:val="single"/>
                </w:rPr>
                <w:t>10.16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Flash Forward Master Agreement, dated as of July 13, 2010, by and among, on one side, Toshiba Corporation and, on the other side, SanDisk Corporation, and SanDisk Flash B.V. (incorporated by reference to Exhibit 10.15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FF"/>
                  <w:sz w:val="16"/>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Agreement of Flash Forward, Ltd, dated as of March 1, 2011, between Toshiba Corporation and SanDisk Flash B.V. (incorporated by reference to Exhibit 10.16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16"/>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FFL Commitment and Extension Agreement, dated as of December 12, 2017, by and among Toshiba Memory Corporation, Western Digital Corporation, SanDisk LLC and SanDisk Flash B.V. (incorporated by reference to Exhibit 10.17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FF"/>
                  <w:sz w:val="16"/>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FFL Second Commitment and Extension Agreement, dated as of May 15, 2019, by and among Toshiba Memory Corporation, Toshiba Memory Iwate Corporation, Western Digital Corporation, SanDisk LLC, SanDisk (Cayman) Limited, SanDisk (Ireland) Limited, SanDisk Flash B.V., Flash Partners, Ltd., Flash Alliance, Ltd., and Flash Forward, Ltd. (incorporated by reference to Exhibit 10.18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16"/>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Flash Partners Master Agreement, dated as of September 10, 2004, by and among Toshiba Corporation, SanDisk Corporation, and SanDisk International Limited. (incorporated by reference to Exhibit 10.19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16"/>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Agreement of Flash Partners Ltd., dated as of September 10, 2004, by and between Toshiba Corporation and SanDisk International Limited (incorporated by reference to Exhibit 10.20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16"/>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FPL Commitment and Extension Agreement, dated as of October 20, 2015, by and among Toshiba Corporation, SanDisk Corporation and SanDisk (Cayman) Limited (incorporated by reference to Exhibit 10.21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FF"/>
                  <w:sz w:val="16"/>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K2 PH1 Facility Agreement, dated as of June 27, 2024, by and among Kioxia Corporation, Kioxia Iwate Corporation, Western Digital Corporation, SanDisk LLC, SanDisk (Cayman) Limited, SanDisk (Ireland) Limited, SanDisk Flash B.V., Flash Alliance, Ltd., and Flash Forward, Ltd. (incorporated by reference to Exhibit 10.22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16"/>
                  <w:u w:val="single"/>
                </w:rPr>
                <w:t>10.24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BiCS License &amp; Development Agreement, dated as of March 1, 2011, by and between Toshiba Corporation and SanDisk Corporation (incorporated by reference to Exhibit 10.23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FF"/>
                  <w:sz w:val="16"/>
                  <w:u w:val="single"/>
                </w:rPr>
                <w:t>10.25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Joint Memory Development Agreement, dated as of June 27, 2024, by and between Kioxia Corporation and SanDisk LLC (incorporated by reference to Exhibit 10.24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FF"/>
                  <w:sz w:val="16"/>
                  <w:u w:val="single"/>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Agreement to Enhance Collaboration, dated as of January 29, 2026, by and among Kioxia Corporation, Sandisk Corporation, Sandisk Technologies, Inc., SanDisk LLC, SanDisk (Ireland) Limited and SanDisk (Cayman) Limited (Filed as Exhibit 10.1 to the Company’s Quarterly Report on Form 10-Q with the Securities and Exchange Commission on January 30, 2026)</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FF"/>
                  <w:sz w:val="16"/>
                  <w:u w:val="single"/>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FAL Second Commitment and Extension Agreement, dated as of January 29, 2026, by and among Kioxia Corporation, Sandisk Corporation, SanDisk LLC and SanDisk (Ireland) Limited (Filed as Exhibit 10.2 to the Company’s Quarterly Report on Form 10-Q with the Securities and Exchange Commission on January 30, 2026)</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FF"/>
                  <w:sz w:val="16"/>
                  <w:u w:val="single"/>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FPL Second Commitment and Extension Agreement, dated as of January 29, 2026, by and among Kioxia Corporation, Sandisk Corporation, SanDisk LLC and SanDisk (Cayman) Limited (Filed as Exhibit 10.3 to the Company’s Quarterly Report on Form 10-Q with the Securities and Exchange Commission on January 30, 2026)</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val="false"/>
                  <w:color w:val="0000FF"/>
                  <w:sz w:val="16"/>
                  <w:u w:val="single"/>
                </w:rPr>
                <w:t>10.29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Equity Purchase Agreement, dated as of September 12, 2024, by and between SanDisk China Limited and JCET Management Co., Ltd. (incorporated by reference to Exhibit 10.25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FF"/>
                  <w:sz w:val="16"/>
                  <w:u w:val="single"/>
                </w:rPr>
                <w:t>10.30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Amendment No.1, dated as of September 27, 2025, to the Amended and Restated Equity Purchase Agreement, dated as of September 12, 2024, by and between SanDisk China Limited and JCET Management Co., Ltd. (Filed as Exhibit 10.1 to the Company’s Quarterly Report on Form 10-Q with the Securities and Exchange Commission on November 7, 2025)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val="false"/>
                  <w:color w:val="0000FF"/>
                  <w:sz w:val="16"/>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Indemnification Agreement for Directors and Officers (incorporated by reference to Exhibit 10.10 to the Company’s Current Report on Form 8-K dated February 24, 2025)</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FF"/>
                  <w:sz w:val="16"/>
                  <w:u w:val="single"/>
                </w:rPr>
                <w:t>10.32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Corporation 2025 Long Term Incentive Plan (incorporated by reference to Exhibit 10.29 to the Company’s Annual Report on Form 10-K for the year ended June 27, 2025, filed on August 21, 2025)*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FF"/>
                  <w:sz w:val="16"/>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Award Agreement - Vice President and Above (Applicable to New Grants Post-Spin-Off) (incorporated by reference to Exhibit 10.27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FF"/>
                  <w:sz w:val="16"/>
                  <w:u w:val="single"/>
                </w:rPr>
                <w:t>10.34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Performance Stock Unit Award Agreement (Applicable to New Grants Post-Spin-Off) (incorporated by reference to Exhibit 10.28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erif" w:hAnsi="Times New Roman;serif"/>
                  <w:b w:val="false"/>
                  <w:color w:val="0000FF"/>
                  <w:sz w:val="16"/>
                  <w:u w:val="single"/>
                </w:rPr>
                <w:t>10.35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2022, 2023 &amp; 2024 Restricted Stock Unit Award Agreement - VP and Above (incorporated by reference to Exhibit 10.29 to the Company’s Registration Statement on Form 10, filed on November 29,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FF"/>
                  <w:sz w:val="16"/>
                  <w:u w:val="single"/>
                </w:rPr>
                <w:t>10.36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2025 Restricted Stock Unit Award Agreement - VP and Above (incorporated by reference to Exhibit 10.30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erif" w:hAnsi="Times New Roman;serif"/>
                  <w:b w:val="false"/>
                  <w:color w:val="0000FF"/>
                  <w:sz w:val="16"/>
                  <w:u w:val="single"/>
                </w:rPr>
                <w:t>10.37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2023 Performance Stock Unit Award Agreement (incorporated by reference to Exhibit 10.31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erif" w:hAnsi="Times New Roman;serif"/>
                  <w:b w:val="false"/>
                  <w:color w:val="0000FF"/>
                  <w:sz w:val="16"/>
                  <w:u w:val="single"/>
                </w:rPr>
                <w:t>10.38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2024 Performance Stock Unit Award Agreement (incorporated by reference to Exhibit 10.32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erif" w:hAnsi="Times New Roman;serif"/>
                  <w:b w:val="false"/>
                  <w:color w:val="0000FF"/>
                  <w:sz w:val="16"/>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2025 Performance Stock Unit Award Agreement (incorporated by reference to Exhibit 10.33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FF"/>
                  <w:sz w:val="16"/>
                  <w:u w:val="single"/>
                </w:rPr>
                <w:t>10.40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Launch Performance Stock Unit Award Agreement (incorporated by reference to Exhibit 10.37 to the Company’s Annual Report on Form 10-K for the year ended June 27, 2025, filed on August 21, 2025)*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erif" w:hAnsi="Times New Roman;serif"/>
                  <w:b w:val="false"/>
                  <w:color w:val="0000FF"/>
                  <w:sz w:val="16"/>
                  <w:u w:val="single"/>
                </w:rPr>
                <w:t>10.41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Non-Employee Director Restricted Stock Unit Program (incorporated by reference to Exhibit 10.34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erif" w:hAnsi="Times New Roman;serif"/>
                  <w:b w:val="false"/>
                  <w:color w:val="0000FF"/>
                  <w:sz w:val="16"/>
                  <w:u w:val="single"/>
                </w:rPr>
                <w:t>10.42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Corporation Deferred Compensation Plan (incorporated by reference to Exhibit 10.39 to the Company’s Annual Report on Form 10-K for the year ended June 27, 2025, filed on August 21, 2025)*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erif" w:hAnsi="Times New Roman;serif"/>
                  <w:b w:val="false"/>
                  <w:color w:val="0000FF"/>
                  <w:sz w:val="16"/>
                  <w:u w:val="single"/>
                </w:rPr>
                <w:t>10.43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Corporation 2025 Employee Stock Purchase Plan (incorporated by reference to Exhibit 10.40 to the Company’s Annual Report on Form 10-K for the year ended June 27, 2025, filed on August 21,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3"/>
        <w:gridCol w:w="196"/>
        <w:gridCol w:w="198"/>
        <w:gridCol w:w="109"/>
        <w:gridCol w:w="109"/>
        <w:gridCol w:w="109"/>
        <w:gridCol w:w="2776"/>
        <w:gridCol w:w="2684"/>
        <w:gridCol w:w="380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erif" w:hAnsi="Times New Roman;serif"/>
                  <w:b w:val="false"/>
                  <w:color w:val="0000FF"/>
                  <w:sz w:val="16"/>
                  <w:u w:val="single"/>
                </w:rPr>
                <w:t>10.44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Corporation Executive Severance Plan (incorporated by reference to Exhibit 10.41 to the Company’s Annual Report on Form 10-K for the year ended June 27, 2025, filed on August 21, 2025)*</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erif" w:hAnsi="Times New Roman;serif"/>
                  <w:b w:val="false"/>
                  <w:color w:val="0000FF"/>
                  <w:sz w:val="16"/>
                  <w:u w:val="single"/>
                </w:rPr>
                <w:t>10.45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Change in Control Severance Plan (incorporated by reference to Exhibit 10.42 to the Company’s Annual Report on Form 10-K for the year ended June 27, 2025, filed on August 21, 2025)*</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erif" w:hAnsi="Times New Roman;serif"/>
                  <w:b w:val="false"/>
                  <w:color w:val="0000FF"/>
                  <w:sz w:val="16"/>
                  <w:u w:val="single"/>
                </w:rPr>
                <w:t>10.46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Executive Short Term Incentive Plan (incorporated by reference to Exhibit 10.43 to the Company’s Annual Report on Form 10-K for the year ended June 27, 2025, filed on August 21, 2025)*</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FF"/>
                  <w:sz w:val="16"/>
                  <w:u w:val="single"/>
                </w:rPr>
                <w:t>10.47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dated as of July 1, 2024, to Luis Felipe Visoso (incorporated by reference to Exhibit 10.40 to the Company’s Registration Statement on Form 10, filed on November 25, 2024)</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16"/>
                  <w:u w:val="single"/>
                </w:rPr>
                <w:t>10.48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Placement Subscription Agreement, dated as of March 25, 2026, by and between Sandisk Technologies, Inc. and Nanya Technology Corporation (incorporated by reference to Exhibit 10.1 to the Company’s Current Report on Form 8-K with the Securities and Exchange Commission on March 25, 2026)</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FF"/>
                  <w:sz w:val="16"/>
                  <w:u w:val="single"/>
                </w:rPr>
                <w:t>19.1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Policy Regarding Insider Trading and Unauthorized Disclosures (incorporated by reference to Exhibit 19.1 to the Company’s Annual Report on Form 10-K for the year ended June 27, 2025, filed on August 21, 2025)</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211-subsidiariesoft.htm">
              <w:r>
                <w:rPr>
                  <w:rStyle w:val="InternetLink"/>
                  <w:rFonts w:ascii="Times New Roman;serif" w:hAnsi="Times New Roman;serif"/>
                  <w:b w:val="false"/>
                  <w:color w:val="0000FF"/>
                  <w:sz w:val="16"/>
                  <w:u w:val="single"/>
                </w:rPr>
                <w:t>21.1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Subsidiaries of the Registrant† </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231-sandiskfy26cons.htm">
              <w:r>
                <w:rPr>
                  <w:rStyle w:val="InternetLink"/>
                  <w:rFonts w:ascii="Times New Roman;serif" w:hAnsi="Times New Roman;serif"/>
                  <w:b w:val="false"/>
                  <w:color w:val="0000FF"/>
                  <w:sz w:val="16"/>
                  <w:u w:val="single"/>
                </w:rPr>
                <w:t>23.1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Consent of KPMG LLP†</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fy26ex311.htm">
              <w:r>
                <w:rPr>
                  <w:rStyle w:val="InternetLink"/>
                  <w:rFonts w:ascii="Times New Roman;serif" w:hAnsi="Times New Roman;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Section 302 of the Sarbanes-Oxley Act of 2002†</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fy26ex312.htm">
              <w:r>
                <w:rPr>
                  <w:rStyle w:val="InternetLink"/>
                  <w:rFonts w:ascii="Times New Roman;serif" w:hAnsi="Times New Roman;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Section 302 of the Sarbanes-Oxley Act of 2002†</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fy26ex321.htm">
              <w:r>
                <w:rPr>
                  <w:rStyle w:val="InternetLink"/>
                  <w:rFonts w:ascii="Times New Roman;serif" w:hAnsi="Times New Roman;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Executive Officer Pursuant to 18 U.S.C. Section 1350, as adopted pursuant to Section 906 of the Sarbanes-Oxley Act of 2002**</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fy26ex322.htm">
              <w:r>
                <w:rPr>
                  <w:rStyle w:val="InternetLink"/>
                  <w:rFonts w:ascii="Times New Roman;serif" w:hAnsi="Times New Roman;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Financial Officer Pursuant to 18 U.S.C. Section 1350, as adopted pursuant to Section 906 of the Sarbanes-Oxley Act of 2002**</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FF"/>
                  <w:sz w:val="16"/>
                  <w:u w:val="single"/>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Sandisk Corporation Compensation Recovery (Clawback) Policy (incorporated by reference to Exhibit 97.1 to the Company’s Annual Report on Form 10-K for the year ended June 27, 2025, filed on August 21, 2025) </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 - the instance document does not appear in the Interactive Data File because its XBRL tags are embedded within the Inline XBRL document.</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Schema Document†</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Calculation Linkbase Document†</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Presentation Linkbase Document†</w:t>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 Document†</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 formatted in Inline XBRL and contained in Exhibit 101</w:t>
            </w:r>
          </w:p>
        </w:tc>
      </w:tr>
    </w:tbl>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16"/>
        </w:rPr>
        <w:t>Filed with this report.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 required to be filed as an exhibit pursuant to applicable rules of the Securities and Exchange Commission.</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Furnished with this report.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Schedules and exhibits have been omitted pursuant to Item 601(a)(5) of Regulation S-K.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As permitted by Regulation S-K, Item 601(b)(10)(iv) of the Securities Exchange Act of 1934, as amended, certain confidential portions of this exhibit have been redacted from the publicly filed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16.    </w:t>
      </w:r>
      <w:r>
        <w:rPr>
          <w:rFonts w:ascii="Times New Roman;serif" w:hAnsi="Times New Roman;serif"/>
          <w:b/>
          <w:i/>
          <w:color w:val="000000"/>
          <w:sz w:val="20"/>
        </w:rPr>
        <w:t>Form 10-K Summary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Annual Report on Form 10-K to be signed on its behalf by the undersigned, thereunto duly authorized.</w:t>
      </w:r>
    </w:p>
    <w:tbl>
      <w:tblPr>
        <w:tblW w:w="6059" w:type="dxa"/>
        <w:jc w:val="left"/>
        <w:tblInd w:w="0" w:type="dxa"/>
        <w:tblLayout w:type="fixed"/>
        <w:tblCellMar>
          <w:top w:w="28" w:type="dxa"/>
          <w:left w:w="28" w:type="dxa"/>
          <w:bottom w:w="28" w:type="dxa"/>
          <w:right w:w="28" w:type="dxa"/>
        </w:tblCellMar>
      </w:tblPr>
      <w:tblGrid>
        <w:gridCol w:w="124"/>
        <w:gridCol w:w="109"/>
        <w:gridCol w:w="109"/>
        <w:gridCol w:w="251"/>
        <w:gridCol w:w="251"/>
        <w:gridCol w:w="251"/>
        <w:gridCol w:w="1439"/>
        <w:gridCol w:w="1439"/>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Sandisk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 Pokorny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 Pokorny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Vice President,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 Officer)</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Dated: August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9edf1527e7c49eabe2559a1e017a94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w:t>
        <w:noBreakHyphen/>
        <w:t>K has been signed below by the following persons on behalf of the Registrant and in the capacities and on the dates indicated.</w:t>
      </w:r>
    </w:p>
    <w:tbl>
      <w:tblPr>
        <w:tblW w:w="8662" w:type="dxa"/>
        <w:jc w:val="left"/>
        <w:tblInd w:w="0" w:type="dxa"/>
        <w:tblLayout w:type="fixed"/>
        <w:tblCellMar>
          <w:top w:w="28" w:type="dxa"/>
          <w:left w:w="28" w:type="dxa"/>
          <w:bottom w:w="28" w:type="dxa"/>
          <w:right w:w="28" w:type="dxa"/>
        </w:tblCellMar>
      </w:tblPr>
      <w:tblGrid>
        <w:gridCol w:w="765"/>
        <w:gridCol w:w="672"/>
        <w:gridCol w:w="677"/>
        <w:gridCol w:w="109"/>
        <w:gridCol w:w="109"/>
        <w:gridCol w:w="109"/>
        <w:gridCol w:w="1458"/>
        <w:gridCol w:w="1458"/>
        <w:gridCol w:w="1478"/>
        <w:gridCol w:w="109"/>
        <w:gridCol w:w="109"/>
        <w:gridCol w:w="109"/>
        <w:gridCol w:w="436"/>
        <w:gridCol w:w="436"/>
        <w:gridCol w:w="628"/>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V.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V.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Luis F. Visoso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F. Visoso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 Pokorny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 Pokorny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R. Bradley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R. Bradley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Cassidy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Cassidy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Devinder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Devinder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Necip Sayiner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Necip Sayiner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Ellyn J. Shook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Ellyn J. Shook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Miyuki Suzuki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Miyuki Suzuki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SANDISK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SUBSIDIARIES OF THE COMPANY</w:t>
      </w:r>
    </w:p>
    <w:p>
      <w:pPr>
        <w:pStyle w:val="TextBody"/>
        <w:bidi w:val="0"/>
        <w:spacing w:before="0" w:after="160"/>
        <w:jc w:val="center"/>
        <w:rPr/>
      </w:pPr>
      <w:r>
        <w:rPr/>
      </w:r>
    </w:p>
    <w:tbl>
      <w:tblPr>
        <w:tblW w:w="10205" w:type="dxa"/>
        <w:jc w:val="left"/>
        <w:tblInd w:w="0" w:type="dxa"/>
        <w:tblLayout w:type="fixed"/>
        <w:tblCellMar>
          <w:top w:w="28" w:type="dxa"/>
          <w:left w:w="28" w:type="dxa"/>
          <w:bottom w:w="28" w:type="dxa"/>
          <w:right w:w="28" w:type="dxa"/>
        </w:tblCellMar>
      </w:tblPr>
      <w:tblGrid>
        <w:gridCol w:w="1752"/>
        <w:gridCol w:w="1459"/>
        <w:gridCol w:w="1464"/>
        <w:gridCol w:w="1617"/>
        <w:gridCol w:w="1617"/>
        <w:gridCol w:w="2296"/>
      </w:tblGrid>
      <w:tr>
        <w:trPr/>
        <w:tc>
          <w:tcPr>
            <w:tcW w:w="175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Name of Entity</w:t>
            </w:r>
          </w:p>
        </w:tc>
        <w:tc>
          <w:tcPr>
            <w:tcW w:w="55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State or Other Jurisdiction of Incorporation or Organization</w:t>
            </w:r>
          </w:p>
        </w:tc>
      </w:tr>
      <w:tr>
        <w:trPr/>
        <w:tc>
          <w:tcPr>
            <w:tcW w:w="4675"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5530"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Amplidata N.V.</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EasyStore Memory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Fusion-io Poland SP.Z.O.O.</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Prestadora SD, S. de R.L. de C.V.</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(Cayman)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Cayman Islands</w:t>
            </w:r>
          </w:p>
        </w:tc>
      </w:tr>
      <w:tr>
        <w:trPr/>
        <w:tc>
          <w:tcPr>
            <w:tcW w:w="467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SanDisk (Ireland) Unlimited Company</w:t>
            </w:r>
          </w:p>
        </w:tc>
        <w:tc>
          <w:tcPr>
            <w:tcW w:w="553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(Thailand) Ltd.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Thailand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Argentina S.A.</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Argentina</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Australia Pty. Ltd.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Sandisk Brasil Ltda.</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Sandisk Canada Corporation</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Ontario, Canada </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SanDisk Capital Global Ltd.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Cayman Islands</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Capital LLC</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Cayman Holdings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Cayman Islands</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China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China LLC</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Corporation</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Denmark ApS</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Denmark</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Federal, LLC</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Sandisk Finance Limited</w:t>
            </w:r>
          </w:p>
        </w:tc>
        <w:tc>
          <w:tcPr>
            <w:tcW w:w="553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Flash B.V.</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France</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France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Germany GmbH</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467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Sandisk GK</w:t>
            </w:r>
          </w:p>
        </w:tc>
        <w:tc>
          <w:tcPr>
            <w:tcW w:w="553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Holding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Cayman Islands</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Holdings B.V.</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Netherlands</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Hong Kong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Hong Kong</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India Device Design Centre Private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Information Technology (Shanghai) Co. Ltd.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International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SanDisk International Middle East FZE</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Israel Ltd.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Korea Limited</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Korea</w:t>
            </w:r>
          </w:p>
        </w:tc>
      </w:tr>
      <w:tr>
        <w:trPr/>
        <w:tc>
          <w:tcPr>
            <w:tcW w:w="467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Sandisk Latin America, LLC</w:t>
            </w:r>
          </w:p>
        </w:tc>
        <w:tc>
          <w:tcPr>
            <w:tcW w:w="553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LLC</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Manufacturing Americas, LLC</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67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SanDisk Pazarlama Ve Ticaret Limited Sirketi </w:t>
            </w:r>
          </w:p>
        </w:tc>
        <w:tc>
          <w:tcPr>
            <w:tcW w:w="553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Turkey</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39"/>
        <w:gridCol w:w="1331"/>
        <w:gridCol w:w="1343"/>
        <w:gridCol w:w="1752"/>
        <w:gridCol w:w="1752"/>
        <w:gridCol w:w="2488"/>
      </w:tblGrid>
      <w:tr>
        <w:trPr/>
        <w:tc>
          <w:tcPr>
            <w:tcW w:w="15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Name of Entity</w:t>
            </w:r>
          </w:p>
        </w:tc>
        <w:tc>
          <w:tcPr>
            <w:tcW w:w="599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2"/>
              </w:rPr>
            </w:pPr>
            <w:r>
              <w:rPr>
                <w:rFonts w:ascii="Times New Roman;serif" w:hAnsi="Times New Roman;serif"/>
                <w:b/>
                <w:color w:val="000000"/>
                <w:sz w:val="22"/>
              </w:rPr>
              <w:t>State or Other Jurisdiction of Incorporation or Organization</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Spain, S.L.U.</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Storage (Italy) S.R.L.</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Storage (Philippines) Corp.</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Philippines </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Storage Malaysia Sdn. Bhd.</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Malaysia</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Storage Pte. Ltd.</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Technologies LLC</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Texas</w:t>
            </w:r>
          </w:p>
        </w:tc>
      </w:tr>
      <w:tr>
        <w:trPr/>
        <w:tc>
          <w:tcPr>
            <w:tcW w:w="421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Sandisk Technologies, Inc.</w:t>
            </w:r>
          </w:p>
        </w:tc>
        <w:tc>
          <w:tcPr>
            <w:tcW w:w="599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Technologies NG Ltd.</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Nigeria</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Trading (Shanghai) Co. Ltd.</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Trading Holdings Limited</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UK Holdings Limited</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421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SanDisk UK Limited</w:t>
            </w:r>
          </w:p>
        </w:tc>
        <w:tc>
          <w:tcPr>
            <w:tcW w:w="599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United Kingdom </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Sandisk Vietnam Limited Liability Company</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4213"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SMART Storage Systems GmbH</w:t>
            </w:r>
          </w:p>
        </w:tc>
        <w:tc>
          <w:tcPr>
            <w:tcW w:w="5992"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Austria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3979" w:type="dxa"/>
        <w:jc w:val="left"/>
        <w:tblInd w:w="0" w:type="dxa"/>
        <w:tblLayout w:type="fixed"/>
        <w:tblCellMar>
          <w:top w:w="28" w:type="dxa"/>
          <w:left w:w="28" w:type="dxa"/>
          <w:bottom w:w="28" w:type="dxa"/>
          <w:right w:w="28" w:type="dxa"/>
        </w:tblCellMar>
      </w:tblPr>
      <w:tblGrid>
        <w:gridCol w:w="547"/>
        <w:gridCol w:w="481"/>
        <w:gridCol w:w="483"/>
        <w:gridCol w:w="589"/>
        <w:gridCol w:w="589"/>
        <w:gridCol w:w="591"/>
        <w:gridCol w:w="109"/>
        <w:gridCol w:w="109"/>
        <w:gridCol w:w="109"/>
        <w:gridCol w:w="109"/>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95350" cy="352425"/>
                  <wp:effectExtent l="0" t="0" r="0" b="0"/>
                  <wp:docPr id="1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 descr=""/>
                          <pic:cNvPicPr>
                            <a:picLocks noChangeAspect="1" noChangeArrowheads="1"/>
                          </pic:cNvPicPr>
                        </pic:nvPicPr>
                        <pic:blipFill>
                          <a:blip r:embed="rId58"/>
                          <a:stretch>
                            <a:fillRect/>
                          </a:stretch>
                        </pic:blipFill>
                        <pic:spPr bwMode="auto">
                          <a:xfrm>
                            <a:off x="0" y="0"/>
                            <a:ext cx="895350" cy="352425"/>
                          </a:xfrm>
                          <a:prstGeom prst="rect">
                            <a:avLst/>
                          </a:prstGeom>
                        </pic:spPr>
                      </pic:pic>
                    </a:graphicData>
                  </a:graphic>
                </wp:inline>
              </w:drawing>
            </w:r>
          </w:p>
        </w:tc>
        <w:tc>
          <w:tcPr>
            <w:tcW w:w="2468"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151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KPMG LLP</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2755 Augustine Drive</w:t>
              <w:br/>
              <w:t>Suite 701</w:t>
              <w:br/>
              <w:t>Santa Clara, CA 95054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ind w:left="0" w:right="0" w:hanging="709"/>
        <w:jc w:val="left"/>
        <w:rPr/>
      </w:pPr>
      <w:r>
        <w:rPr/>
      </w:r>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 333-285123) on Form S-8 and (No. 333-293514) on Form S-3 of our report dated August 17, 2026, with respect to the consolidated financial statements of Sandisk Corporation and the effectiveness of internal control over financial reporting.</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Santa Clara, California</w:t>
        <w:br/>
        <w:t>August 17, 2026</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96415"/>
                <wp:effectExtent l="0" t="0" r="0" b="0"/>
                <wp:wrapNone/>
                <wp:docPr id="114" name="Frame112"/>
                <a:graphic xmlns:a="http://schemas.openxmlformats.org/drawingml/2006/main">
                  <a:graphicData uri="http://schemas.microsoft.com/office/word/2010/wordprocessingShape">
                    <wps:wsp>
                      <wps:cNvSpPr txBox="1"/>
                      <wps:spPr>
                        <a:xfrm>
                          <a:off x="0" y="0"/>
                          <a:ext cx="6480175" cy="1796415"/>
                        </a:xfrm>
                        <a:prstGeom prst="rect"/>
                        <a:solidFill>
                          <a:srgbClr val="FFFFFF"/>
                        </a:solidFill>
                      </wps:spPr>
                      <wps:txbx>
                        <w:txbxContent>
                          <w:p>
                            <w:pPr>
                              <w:pStyle w:val="TextBody"/>
                              <w:bidi w:val="0"/>
                              <w:spacing w:before="0" w:after="200"/>
                              <w:jc w:val="left"/>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304" w:before="0" w:after="0"/>
                              <w:jc w:val="center"/>
                              <w:rPr>
                                <w:rFonts w:ascii="Arial;sans-serif" w:hAnsi="Arial;sans-serif"/>
                                <w:b w:val="false"/>
                                <w:color w:val="000000"/>
                                <w:sz w:val="11"/>
                              </w:rPr>
                            </w:pPr>
                            <w:r>
                              <w:rPr>
                                <w:rFonts w:ascii="Arial;sans-serif" w:hAnsi="Arial;sans-serif"/>
                                <w:b w:val="false"/>
                                <w:color w:val="000000"/>
                                <w:sz w:val="11"/>
                              </w:rPr>
                              <w:t>KPMG LLP, a Delaware limited liability partnership, and its subsidiaries are part of</w:t>
                            </w:r>
                          </w:p>
                          <w:p>
                            <w:pPr>
                              <w:pStyle w:val="TextBody"/>
                              <w:bidi w:val="0"/>
                              <w:spacing w:lineRule="auto" w:line="304" w:before="0" w:after="0"/>
                              <w:jc w:val="center"/>
                              <w:rPr>
                                <w:rFonts w:ascii="Arial;sans-serif" w:hAnsi="Arial;sans-serif"/>
                                <w:b w:val="false"/>
                                <w:color w:val="000000"/>
                                <w:sz w:val="11"/>
                              </w:rPr>
                            </w:pPr>
                            <w:r>
                              <w:rPr>
                                <w:rFonts w:ascii="Arial;sans-serif" w:hAnsi="Arial;sans-serif"/>
                                <w:b w:val="false"/>
                                <w:color w:val="000000"/>
                                <w:sz w:val="11"/>
                              </w:rPr>
                              <w:t>the KPMG global organization of independent member firms affiliated with KPMG</w:t>
                            </w:r>
                          </w:p>
                          <w:p>
                            <w:pPr>
                              <w:pStyle w:val="TextBody"/>
                              <w:bidi w:val="0"/>
                              <w:spacing w:lineRule="auto" w:line="304" w:before="0" w:after="0"/>
                              <w:jc w:val="center"/>
                              <w:rPr>
                                <w:rFonts w:ascii="Arial;sans-serif" w:hAnsi="Arial;sans-serif"/>
                                <w:b w:val="false"/>
                                <w:color w:val="000000"/>
                                <w:sz w:val="11"/>
                              </w:rPr>
                            </w:pPr>
                            <w:r>
                              <w:rPr>
                                <w:rFonts w:ascii="Arial;sans-serif" w:hAnsi="Arial;sans-serif"/>
                                <w:b w:val="false"/>
                                <w:color w:val="000000"/>
                                <w:sz w:val="11"/>
                              </w:rPr>
                              <w:t>International Limited, a private English company limited by guarantee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304" w:before="0" w:after="0"/>
                        <w:jc w:val="center"/>
                        <w:rPr>
                          <w:rFonts w:ascii="Arial;sans-serif" w:hAnsi="Arial;sans-serif"/>
                          <w:b w:val="false"/>
                          <w:color w:val="000000"/>
                          <w:sz w:val="11"/>
                        </w:rPr>
                      </w:pPr>
                      <w:r>
                        <w:rPr>
                          <w:rFonts w:ascii="Arial;sans-serif" w:hAnsi="Arial;sans-serif"/>
                          <w:b w:val="false"/>
                          <w:color w:val="000000"/>
                          <w:sz w:val="11"/>
                        </w:rPr>
                        <w:t>KPMG LLP, a Delaware limited liability partnership, and its subsidiaries are part of</w:t>
                      </w:r>
                    </w:p>
                    <w:p>
                      <w:pPr>
                        <w:pStyle w:val="TextBody"/>
                        <w:bidi w:val="0"/>
                        <w:spacing w:lineRule="auto" w:line="304" w:before="0" w:after="0"/>
                        <w:jc w:val="center"/>
                        <w:rPr>
                          <w:rFonts w:ascii="Arial;sans-serif" w:hAnsi="Arial;sans-serif"/>
                          <w:b w:val="false"/>
                          <w:color w:val="000000"/>
                          <w:sz w:val="11"/>
                        </w:rPr>
                      </w:pPr>
                      <w:r>
                        <w:rPr>
                          <w:rFonts w:ascii="Arial;sans-serif" w:hAnsi="Arial;sans-serif"/>
                          <w:b w:val="false"/>
                          <w:color w:val="000000"/>
                          <w:sz w:val="11"/>
                        </w:rPr>
                        <w:t>the KPMG global organization of independent member firms affiliated with KPMG</w:t>
                      </w:r>
                    </w:p>
                    <w:p>
                      <w:pPr>
                        <w:pStyle w:val="TextBody"/>
                        <w:bidi w:val="0"/>
                        <w:spacing w:lineRule="auto" w:line="304" w:before="0" w:after="0"/>
                        <w:jc w:val="center"/>
                        <w:rPr>
                          <w:rFonts w:ascii="Arial;sans-serif" w:hAnsi="Arial;sans-serif"/>
                          <w:b w:val="false"/>
                          <w:color w:val="000000"/>
                          <w:sz w:val="11"/>
                        </w:rPr>
                      </w:pPr>
                      <w:r>
                        <w:rPr>
                          <w:rFonts w:ascii="Arial;sans-serif" w:hAnsi="Arial;sans-serif"/>
                          <w:b w:val="false"/>
                          <w:color w:val="000000"/>
                          <w:sz w:val="11"/>
                        </w:rPr>
                        <w:t>International Limited, a private English company limited by guarantee</w:t>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 David V. Goeckeler, certify that: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Sandisk Corporation;</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 Luis F. Visoso, certify that: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Sandisk Corporation;</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3"/>
        <w:gridCol w:w="131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Times New Roman;serif" w:hAnsi="Times New Roman;serif"/>
                <w:b w:val="false"/>
                <w:color w:val="000000"/>
                <w:sz w:val="20"/>
              </w:rPr>
            </w:pPr>
            <w:r>
              <w:rPr>
                <w:rFonts w:ascii="Times New Roman;serif" w:hAnsi="Times New Roman;serif"/>
                <w:b w:val="false"/>
                <w:color w:val="000000"/>
                <w:sz w:val="20"/>
              </w:rPr>
              <w:t>/s/ 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ableContents"/>
              <w:bidi w:val="0"/>
              <w:spacing w:before="0" w:after="0"/>
              <w:jc w:val="center"/>
              <w:rPr/>
            </w:pPr>
            <w:r>
              <w:rPr/>
            </w:r>
          </w:p>
        </w:tc>
      </w:tr>
    </w:tbl>
    <w:p>
      <w:pPr>
        <w:pStyle w:val="TextBody"/>
        <w:bidi w:val="0"/>
        <w:spacing w:lineRule="auto" w:line="333"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17,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Sandisk Corporation, a Delaware corporation (the “Company”), hereby certifies, to his knowledge, that: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July 3, 2026 (the “Report”) fully complies with the requirements of Section 13(a) or Section 15(d), as applicable, of the Securities Exchange Act of 1934, as amended; and</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17,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Sandisk Corporation, a Delaware corporation (the “Company”), hereby certifies, to his knowledge, that: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July 3, 2026 (the “Report”) fully complies with the requirements of Section 13(a) or Section 15(d), as applicable, of the Securities Exchange Act of 1934, as amended; and</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3"/>
        <w:gridCol w:w="131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Times New Roman;serif" w:hAnsi="Times New Roman;serif"/>
                <w:b w:val="false"/>
                <w:color w:val="000000"/>
                <w:sz w:val="20"/>
              </w:rPr>
            </w:pPr>
            <w:r>
              <w:rPr>
                <w:rFonts w:ascii="Times New Roman;serif" w:hAnsi="Times New Roman;serif"/>
                <w:b w:val="false"/>
                <w:color w:val="000000"/>
                <w:sz w:val="20"/>
              </w:rPr>
              <w:t>/s/ 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17,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23554/000119312525033433/d849281dex21.htm" TargetMode="External"/><Relationship Id="rId4" Type="http://schemas.openxmlformats.org/officeDocument/2006/relationships/hyperlink" Target="https://www.sec.gov/Archives/edgar/data/2023554/000119312525033433/d849281dex31.htm" TargetMode="External"/><Relationship Id="rId5" Type="http://schemas.openxmlformats.org/officeDocument/2006/relationships/hyperlink" Target="https://www.sec.gov/Archives/edgar/data/2023554/000119312525027285/d229754dex31.htm" TargetMode="External"/><Relationship Id="rId6" Type="http://schemas.openxmlformats.org/officeDocument/2006/relationships/hyperlink" Target="https://www.sec.gov/Archives/edgar/data/2023554/000119312525033433/d849281dex106.htm" TargetMode="External"/><Relationship Id="rId7" Type="http://schemas.openxmlformats.org/officeDocument/2006/relationships/hyperlink" Target="https://www.sec.gov/Archives/edgar/data/2023554/000202355425000034/sndkq4fy25ex42.htm" TargetMode="External"/><Relationship Id="rId8" Type="http://schemas.openxmlformats.org/officeDocument/2006/relationships/hyperlink" Target="https://www.sec.gov/Archives/edgar/data/2023554/000119312525033433/d849281dex102.htm" TargetMode="External"/><Relationship Id="rId9" Type="http://schemas.openxmlformats.org/officeDocument/2006/relationships/hyperlink" Target="https://www.sec.gov/Archives/edgar/data/2023554/000119312525033433/d849281dex103.htm" TargetMode="External"/><Relationship Id="rId10" Type="http://schemas.openxmlformats.org/officeDocument/2006/relationships/hyperlink" Target="https://www.sec.gov/Archives/edgar/data/2023554/000119312525033433/d849281dex104.htm" TargetMode="External"/><Relationship Id="rId11" Type="http://schemas.openxmlformats.org/officeDocument/2006/relationships/hyperlink" Target="https://www.sec.gov/Archives/edgar/data/2023554/000119312525033433/d849281dex105.htm" TargetMode="External"/><Relationship Id="rId12" Type="http://schemas.openxmlformats.org/officeDocument/2006/relationships/hyperlink" Target="https://www.sec.gov/Archives/edgar/data/2023554/000119312525033433/d849281dex107.htm" TargetMode="External"/><Relationship Id="rId13" Type="http://schemas.openxmlformats.org/officeDocument/2006/relationships/hyperlink" Target="https://www.sec.gov/Archives/edgar/data/2023554/000119312525033433/d849281dex108.htm" TargetMode="External"/><Relationship Id="rId14" Type="http://schemas.openxmlformats.org/officeDocument/2006/relationships/hyperlink" Target="https://www.sec.gov/Archives/edgar/data/2023554/000119312525033433/d849281dex109.htm" TargetMode="External"/><Relationship Id="rId15" Type="http://schemas.openxmlformats.org/officeDocument/2006/relationships/hyperlink" Target="https://www.sec.gov/Archives/edgar/data/2023554/000119312524264578/d835366dex107.htm" TargetMode="External"/><Relationship Id="rId16" Type="http://schemas.openxmlformats.org/officeDocument/2006/relationships/hyperlink" Target="https://www.sec.gov/Archives/edgar/data/2023554/000119312524264578/d835366dex108.htm" TargetMode="External"/><Relationship Id="rId17" Type="http://schemas.openxmlformats.org/officeDocument/2006/relationships/hyperlink" Target="https://www.sec.gov/Archives/edgar/data/2023554/000119312524264578/d835366dex109.htm" TargetMode="External"/><Relationship Id="rId18" Type="http://schemas.openxmlformats.org/officeDocument/2006/relationships/hyperlink" Target="https://www.sec.gov/Archives/edgar/data/2023554/000119312524264578/d835366dex1010.htm" TargetMode="External"/><Relationship Id="rId19" Type="http://schemas.openxmlformats.org/officeDocument/2006/relationships/hyperlink" Target="https://www.sec.gov/Archives/edgar/data/2023554/000119312524264578/d835366dex1011.htm" TargetMode="External"/><Relationship Id="rId20" Type="http://schemas.openxmlformats.org/officeDocument/2006/relationships/hyperlink" Target="https://www.sec.gov/Archives/edgar/data/2023554/000119312524264578/d835366dex1012.htm" TargetMode="External"/><Relationship Id="rId21" Type="http://schemas.openxmlformats.org/officeDocument/2006/relationships/hyperlink" Target="https://www.sec.gov/Archives/edgar/data/2023554/000119312524264578/d835366dex1013.htm" TargetMode="External"/><Relationship Id="rId22" Type="http://schemas.openxmlformats.org/officeDocument/2006/relationships/hyperlink" Target="https://www.sec.gov/Archives/edgar/data/2023554/000119312524264578/d835366dex1014.htm" TargetMode="External"/><Relationship Id="rId23" Type="http://schemas.openxmlformats.org/officeDocument/2006/relationships/hyperlink" Target="https://www.sec.gov/Archives/edgar/data/2023554/000119312524264578/d835366dex1015.htm" TargetMode="External"/><Relationship Id="rId24" Type="http://schemas.openxmlformats.org/officeDocument/2006/relationships/hyperlink" Target="https://www.sec.gov/Archives/edgar/data/2023554/000119312524264578/d835366dex1016.htm" TargetMode="External"/><Relationship Id="rId25" Type="http://schemas.openxmlformats.org/officeDocument/2006/relationships/hyperlink" Target="https://www.sec.gov/Archives/edgar/data/2023554/000119312524264578/d835366dex1017.htm" TargetMode="External"/><Relationship Id="rId26" Type="http://schemas.openxmlformats.org/officeDocument/2006/relationships/hyperlink" Target="https://www.sec.gov/Archives/edgar/data/2023554/000119312524264578/d835366dex1018.htm" TargetMode="External"/><Relationship Id="rId27" Type="http://schemas.openxmlformats.org/officeDocument/2006/relationships/hyperlink" Target="https://www.sec.gov/Archives/edgar/data/2023554/000119312524264578/d835366dex1019.htm" TargetMode="External"/><Relationship Id="rId28" Type="http://schemas.openxmlformats.org/officeDocument/2006/relationships/hyperlink" Target="https://www.sec.gov/Archives/edgar/data/2023554/000119312524264578/d835366dex1020.htm" TargetMode="External"/><Relationship Id="rId29" Type="http://schemas.openxmlformats.org/officeDocument/2006/relationships/hyperlink" Target="https://www.sec.gov/Archives/edgar/data/2023554/000119312524264578/d835366dex1021.htm" TargetMode="External"/><Relationship Id="rId30" Type="http://schemas.openxmlformats.org/officeDocument/2006/relationships/hyperlink" Target="https://www.sec.gov/Archives/edgar/data/2023554/000119312524264578/d835366dex1022.htm" TargetMode="External"/><Relationship Id="rId31" Type="http://schemas.openxmlformats.org/officeDocument/2006/relationships/hyperlink" Target="https://www.sec.gov/Archives/edgar/data/2023554/000119312524264578/d835366dex1023.htm" TargetMode="External"/><Relationship Id="rId32" Type="http://schemas.openxmlformats.org/officeDocument/2006/relationships/hyperlink" Target="https://www.sec.gov/Archives/edgar/data/2023554/000119312524264578/d835366dex1024.htm" TargetMode="External"/><Relationship Id="rId33" Type="http://schemas.openxmlformats.org/officeDocument/2006/relationships/hyperlink" Target="https://www.sec.gov/Archives/edgar/data/2023554/000162828026004407/ex101agreementtoenhancecol.htm" TargetMode="External"/><Relationship Id="rId34" Type="http://schemas.openxmlformats.org/officeDocument/2006/relationships/hyperlink" Target="https://www.sec.gov/Archives/edgar/data/2023554/000162828026004407/ex102falsecondextensionagr.htm" TargetMode="External"/><Relationship Id="rId35" Type="http://schemas.openxmlformats.org/officeDocument/2006/relationships/hyperlink" Target="https://www.sec.gov/Archives/edgar/data/2023554/000162828026004407/ex103fplsecondextensionagr.htm" TargetMode="External"/><Relationship Id="rId36" Type="http://schemas.openxmlformats.org/officeDocument/2006/relationships/hyperlink" Target="https://www.sec.gov/Archives/edgar/data/2023554/000119312524264578/d835366dex1025.htm" TargetMode="External"/><Relationship Id="rId37" Type="http://schemas.openxmlformats.org/officeDocument/2006/relationships/hyperlink" Target="https://www.sec.gov/Archives/edgar/data/2023554/000162828025050698/sndkq1fy26ex101.htm" TargetMode="External"/><Relationship Id="rId38" Type="http://schemas.openxmlformats.org/officeDocument/2006/relationships/hyperlink" Target="https://www.sec.gov/Archives/edgar/data/2023554/000119312525033433/d849281dex1010.htm" TargetMode="External"/><Relationship Id="rId39" Type="http://schemas.openxmlformats.org/officeDocument/2006/relationships/hyperlink" Target="https://www.sec.gov/Archives/edgar/data/2023554/000202355425000034/sndkq4fy25ex1029.htm" TargetMode="External"/><Relationship Id="rId40" Type="http://schemas.openxmlformats.org/officeDocument/2006/relationships/hyperlink" Target="https://www.sec.gov/Archives/edgar/data/2023554/000119312524264578/d835366dex1027.htm" TargetMode="External"/><Relationship Id="rId41" Type="http://schemas.openxmlformats.org/officeDocument/2006/relationships/hyperlink" Target="https://www.sec.gov/Archives/edgar/data/2023554/000119312524264578/d835366dex1028.htm" TargetMode="External"/><Relationship Id="rId42" Type="http://schemas.openxmlformats.org/officeDocument/2006/relationships/hyperlink" Target="https://www.sec.gov/Archives/edgar/data/2023554/000119312524264578/d835366dex1029.htm" TargetMode="External"/><Relationship Id="rId43" Type="http://schemas.openxmlformats.org/officeDocument/2006/relationships/hyperlink" Target="https://www.sec.gov/Archives/edgar/data/2023554/000119312524264578/d835366dex1030.htm" TargetMode="External"/><Relationship Id="rId44" Type="http://schemas.openxmlformats.org/officeDocument/2006/relationships/hyperlink" Target="https://www.sec.gov/Archives/edgar/data/2023554/000119312524264578/d835366dex1031.htm" TargetMode="External"/><Relationship Id="rId45" Type="http://schemas.openxmlformats.org/officeDocument/2006/relationships/hyperlink" Target="https://www.sec.gov/Archives/edgar/data/2023554/000119312524264578/d835366dex1032.htm" TargetMode="External"/><Relationship Id="rId46" Type="http://schemas.openxmlformats.org/officeDocument/2006/relationships/hyperlink" Target="https://www.sec.gov/Archives/edgar/data/2023554/000119312524264578/d835366dex1033.htm" TargetMode="External"/><Relationship Id="rId47" Type="http://schemas.openxmlformats.org/officeDocument/2006/relationships/hyperlink" Target="https://www.sec.gov/Archives/edgar/data/2023554/000202355425000034/sndkq4fy25ex1037.htm" TargetMode="External"/><Relationship Id="rId48" Type="http://schemas.openxmlformats.org/officeDocument/2006/relationships/hyperlink" Target="https://www.sec.gov/Archives/edgar/data/2023554/000119312524264578/d835366dex1034.htm" TargetMode="External"/><Relationship Id="rId49" Type="http://schemas.openxmlformats.org/officeDocument/2006/relationships/hyperlink" Target="https://www.sec.gov/Archives/edgar/data/2023554/000202355425000034/sndkq4fy25ex1039.htm" TargetMode="External"/><Relationship Id="rId50" Type="http://schemas.openxmlformats.org/officeDocument/2006/relationships/hyperlink" Target="https://www.sec.gov/Archives/edgar/data/2023554/000202355425000034/sndkq4fy25ex1040.htm" TargetMode="External"/><Relationship Id="rId51" Type="http://schemas.openxmlformats.org/officeDocument/2006/relationships/hyperlink" Target="https://www.sec.gov/Archives/edgar/data/2023554/000202355425000034/sndkq4fy25ex1041.htm" TargetMode="External"/><Relationship Id="rId52" Type="http://schemas.openxmlformats.org/officeDocument/2006/relationships/hyperlink" Target="https://www.sec.gov/Archives/edgar/data/2023554/000202355425000034/sndkq4fy25ex1042.htm" TargetMode="External"/><Relationship Id="rId53" Type="http://schemas.openxmlformats.org/officeDocument/2006/relationships/hyperlink" Target="https://www.sec.gov/Archives/edgar/data/2023554/000202355425000034/sndkq4fy25ex1043.htm" TargetMode="External"/><Relationship Id="rId54" Type="http://schemas.openxmlformats.org/officeDocument/2006/relationships/hyperlink" Target="https://www.sec.gov/Archives/edgar/data/2023554/000119312524264578/d835366dex1040.htm" TargetMode="External"/><Relationship Id="rId55" Type="http://schemas.openxmlformats.org/officeDocument/2006/relationships/hyperlink" Target="https://www.sec.gov/Archives/edgar/data/2023554/000119312526122705/d136592dex101.htm" TargetMode="External"/><Relationship Id="rId56" Type="http://schemas.openxmlformats.org/officeDocument/2006/relationships/hyperlink" Target="https://www.sec.gov/Archives/edgar/data/2023554/000202355425000034/sndkq4fy25ex191.htm" TargetMode="External"/><Relationship Id="rId57" Type="http://schemas.openxmlformats.org/officeDocument/2006/relationships/hyperlink" Target="https://www.sec.gov/Archives/edgar/data/2023554/000202355425000034/sndkq4fy25ex971.htm" TargetMode="External"/><Relationship Id="rId58" Type="http://schemas.openxmlformats.org/officeDocument/2006/relationships/image" Target="media/image2.pn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64952</Words>
  <Characters>366215</Characters>
  <CharactersWithSpaces>428656</CharactersWithSpaces>
  <Paragraphs>4306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