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2178050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2178050</wp:posOffset>
            </wp:positionH>
            <wp:positionV relativeFrom="paragraph">
              <wp:posOffset>121285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133350</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Sandisk Corporation</w:t>
      </w:r>
    </w:p>
    <w:p>
      <w:pPr>
        <w:spacing w:after="0" w:line="1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144780</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2580" w:type="dxa"/>
            <w:vAlign w:val="bottom"/>
          </w:tcPr>
          <w:p>
            <w:pPr>
              <w:jc w:val="center"/>
              <w:ind w:right="15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6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001-42420</w:t>
            </w: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99-1508671</w:t>
            </w:r>
          </w:p>
        </w:tc>
      </w:tr>
      <w:tr>
        <w:trPr>
          <w:trHeight w:val="153"/>
        </w:trPr>
        <w:tc>
          <w:tcPr>
            <w:tcW w:w="2580" w:type="dxa"/>
            <w:vAlign w:val="bottom"/>
          </w:tcPr>
          <w:p>
            <w:pPr>
              <w:jc w:val="center"/>
              <w:ind w:right="138"/>
              <w:spacing w:after="0" w:line="153"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860" w:type="dxa"/>
            <w:vAlign w:val="bottom"/>
          </w:tcPr>
          <w:p>
            <w:pPr>
              <w:jc w:val="center"/>
              <w:ind w:right="240"/>
              <w:spacing w:after="0" w:line="153" w:lineRule="exact"/>
              <w:rPr>
                <w:sz w:val="20"/>
                <w:szCs w:val="20"/>
                <w:color w:val="auto"/>
              </w:rPr>
            </w:pPr>
            <w:r>
              <w:rPr>
                <w:rFonts w:ascii="Times New Roman" w:cs="Times New Roman" w:eastAsia="Times New Roman" w:hAnsi="Times New Roman"/>
                <w:sz w:val="14"/>
                <w:szCs w:val="14"/>
                <w:color w:val="auto"/>
              </w:rPr>
              <w:t>(Commission</w:t>
            </w:r>
          </w:p>
        </w:tc>
        <w:tc>
          <w:tcPr>
            <w:tcW w:w="1640" w:type="dxa"/>
            <w:vAlign w:val="bottom"/>
          </w:tcPr>
          <w:p>
            <w:pPr>
              <w:jc w:val="center"/>
              <w:ind w:left="501"/>
              <w:spacing w:after="0" w:line="15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580" w:type="dxa"/>
            <w:vAlign w:val="bottom"/>
          </w:tcPr>
          <w:p>
            <w:pPr>
              <w:jc w:val="center"/>
              <w:ind w:right="158"/>
              <w:spacing w:after="0"/>
              <w:rPr>
                <w:sz w:val="20"/>
                <w:szCs w:val="20"/>
                <w:color w:val="auto"/>
              </w:rPr>
            </w:pPr>
            <w:r>
              <w:rPr>
                <w:rFonts w:ascii="Times New Roman" w:cs="Times New Roman" w:eastAsia="Times New Roman" w:hAnsi="Times New Roman"/>
                <w:sz w:val="14"/>
                <w:szCs w:val="14"/>
                <w:color w:val="auto"/>
              </w:rPr>
              <w:t>of Incorporation)</w:t>
            </w:r>
          </w:p>
        </w:tc>
        <w:tc>
          <w:tcPr>
            <w:tcW w:w="4860" w:type="dxa"/>
            <w:vAlign w:val="bottom"/>
          </w:tcPr>
          <w:p>
            <w:pPr>
              <w:jc w:val="center"/>
              <w:ind w:right="240"/>
              <w:spacing w:after="0"/>
              <w:rPr>
                <w:sz w:val="20"/>
                <w:szCs w:val="20"/>
                <w:color w:val="auto"/>
              </w:rPr>
            </w:pPr>
            <w:r>
              <w:rPr>
                <w:rFonts w:ascii="Times New Roman" w:cs="Times New Roman" w:eastAsia="Times New Roman" w:hAnsi="Times New Roman"/>
                <w:sz w:val="14"/>
                <w:szCs w:val="14"/>
                <w:color w:val="auto"/>
              </w:rPr>
              <w:t>File Number)</w:t>
            </w:r>
          </w:p>
        </w:tc>
        <w:tc>
          <w:tcPr>
            <w:tcW w:w="1640" w:type="dxa"/>
            <w:vAlign w:val="bottom"/>
          </w:tcPr>
          <w:p>
            <w:pPr>
              <w:jc w:val="center"/>
              <w:ind w:left="50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34"/>
        </w:trPr>
        <w:tc>
          <w:tcPr>
            <w:tcW w:w="2580" w:type="dxa"/>
            <w:vAlign w:val="bottom"/>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9"/>
              </w:rPr>
              <w:t>951 Sandisk Drive</w:t>
            </w:r>
          </w:p>
        </w:tc>
        <w:tc>
          <w:tcPr>
            <w:tcW w:w="4860" w:type="dxa"/>
            <w:vAlign w:val="bottom"/>
          </w:tcPr>
          <w:p>
            <w:pPr>
              <w:spacing w:after="0"/>
              <w:rPr>
                <w:sz w:val="24"/>
                <w:szCs w:val="24"/>
                <w:color w:val="auto"/>
              </w:rPr>
            </w:pPr>
          </w:p>
        </w:tc>
        <w:tc>
          <w:tcPr>
            <w:tcW w:w="164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95035</w:t>
            </w:r>
          </w:p>
        </w:tc>
      </w:tr>
      <w:tr>
        <w:trPr>
          <w:trHeight w:val="243"/>
        </w:trPr>
        <w:tc>
          <w:tcPr>
            <w:tcW w:w="2580" w:type="dxa"/>
            <w:vAlign w:val="bottom"/>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9"/>
              </w:rPr>
              <w:t>Milpitas</w:t>
            </w:r>
          </w:p>
        </w:tc>
        <w:tc>
          <w:tcPr>
            <w:tcW w:w="48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0"/>
        </w:trPr>
        <w:tc>
          <w:tcPr>
            <w:tcW w:w="2580" w:type="dxa"/>
            <w:vAlign w:val="bottom"/>
          </w:tcPr>
          <w:p>
            <w:pPr>
              <w:jc w:val="center"/>
              <w:ind w:right="158"/>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48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0"/>
        </w:trPr>
        <w:tc>
          <w:tcPr>
            <w:tcW w:w="2580" w:type="dxa"/>
            <w:vAlign w:val="bottom"/>
          </w:tcPr>
          <w:p>
            <w:pPr>
              <w:jc w:val="center"/>
              <w:ind w:right="15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860" w:type="dxa"/>
            <w:vAlign w:val="bottom"/>
          </w:tcPr>
          <w:p>
            <w:pPr>
              <w:spacing w:after="0"/>
              <w:rPr>
                <w:sz w:val="19"/>
                <w:szCs w:val="19"/>
                <w:color w:val="auto"/>
              </w:rPr>
            </w:pPr>
          </w:p>
        </w:tc>
        <w:tc>
          <w:tcPr>
            <w:tcW w:w="1640" w:type="dxa"/>
            <w:vAlign w:val="bottom"/>
          </w:tcPr>
          <w:p>
            <w:pPr>
              <w:jc w:val="center"/>
              <w:ind w:left="501"/>
              <w:spacing w:after="0"/>
              <w:rPr>
                <w:sz w:val="20"/>
                <w:szCs w:val="20"/>
                <w:color w:val="auto"/>
              </w:rPr>
            </w:pPr>
            <w:r>
              <w:rPr>
                <w:rFonts w:ascii="Times New Roman" w:cs="Times New Roman" w:eastAsia="Times New Roman" w:hAnsi="Times New Roman"/>
                <w:sz w:val="14"/>
                <w:szCs w:val="14"/>
                <w:color w:val="auto"/>
              </w:rPr>
              <w:t>(Zip Code)</w:t>
            </w:r>
          </w:p>
        </w:tc>
      </w:tr>
      <w:tr>
        <w:trPr>
          <w:trHeight w:val="442"/>
        </w:trPr>
        <w:tc>
          <w:tcPr>
            <w:tcW w:w="2580" w:type="dxa"/>
            <w:vAlign w:val="bottom"/>
          </w:tcPr>
          <w:p>
            <w:pPr>
              <w:spacing w:after="0"/>
              <w:rPr>
                <w:sz w:val="24"/>
                <w:szCs w:val="24"/>
                <w:color w:val="auto"/>
              </w:rPr>
            </w:pPr>
          </w:p>
        </w:tc>
        <w:tc>
          <w:tcPr>
            <w:tcW w:w="4860" w:type="dxa"/>
            <w:vAlign w:val="bottom"/>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(408) 801-1000</w:t>
            </w:r>
          </w:p>
        </w:tc>
        <w:tc>
          <w:tcPr>
            <w:tcW w:w="1640" w:type="dxa"/>
            <w:vAlign w:val="bottom"/>
          </w:tcPr>
          <w:p>
            <w:pPr>
              <w:spacing w:after="0"/>
              <w:rPr>
                <w:sz w:val="24"/>
                <w:szCs w:val="24"/>
                <w:color w:val="auto"/>
              </w:rPr>
            </w:pPr>
          </w:p>
        </w:tc>
      </w:tr>
      <w:tr>
        <w:trPr>
          <w:trHeight w:val="273"/>
        </w:trPr>
        <w:tc>
          <w:tcPr>
            <w:tcW w:w="2580" w:type="dxa"/>
            <w:vAlign w:val="bottom"/>
          </w:tcPr>
          <w:p>
            <w:pPr>
              <w:spacing w:after="0"/>
              <w:rPr>
                <w:sz w:val="23"/>
                <w:szCs w:val="23"/>
                <w:color w:val="auto"/>
              </w:rPr>
            </w:pPr>
          </w:p>
        </w:tc>
        <w:tc>
          <w:tcPr>
            <w:tcW w:w="48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40" w:type="dxa"/>
            <w:vAlign w:val="bottom"/>
          </w:tcPr>
          <w:p>
            <w:pPr>
              <w:spacing w:after="0"/>
              <w:rPr>
                <w:sz w:val="23"/>
                <w:szCs w:val="23"/>
                <w:color w:val="auto"/>
              </w:rPr>
            </w:pPr>
          </w:p>
        </w:tc>
      </w:tr>
      <w:tr>
        <w:trPr>
          <w:trHeight w:val="320"/>
        </w:trPr>
        <w:tc>
          <w:tcPr>
            <w:tcW w:w="2580" w:type="dxa"/>
            <w:vAlign w:val="bottom"/>
          </w:tcPr>
          <w:p>
            <w:pPr>
              <w:spacing w:after="0"/>
              <w:rPr>
                <w:sz w:val="24"/>
                <w:szCs w:val="24"/>
                <w:color w:val="auto"/>
              </w:rPr>
            </w:pPr>
          </w:p>
        </w:tc>
        <w:tc>
          <w:tcPr>
            <w:tcW w:w="4860" w:type="dxa"/>
            <w:vAlign w:val="bottom"/>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40" w:type="dxa"/>
            <w:vAlign w:val="bottom"/>
          </w:tcPr>
          <w:p>
            <w:pPr>
              <w:spacing w:after="0"/>
              <w:rPr>
                <w:sz w:val="24"/>
                <w:szCs w:val="24"/>
                <w:color w:val="auto"/>
              </w:rPr>
            </w:pPr>
          </w:p>
        </w:tc>
      </w:tr>
      <w:tr>
        <w:trPr>
          <w:trHeight w:val="355"/>
        </w:trPr>
        <w:tc>
          <w:tcPr>
            <w:tcW w:w="2580" w:type="dxa"/>
            <w:vAlign w:val="bottom"/>
          </w:tcPr>
          <w:p>
            <w:pPr>
              <w:spacing w:after="0"/>
              <w:rPr>
                <w:sz w:val="24"/>
                <w:szCs w:val="24"/>
                <w:color w:val="auto"/>
              </w:rPr>
            </w:pPr>
          </w:p>
        </w:tc>
        <w:tc>
          <w:tcPr>
            <w:tcW w:w="486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2178050</wp:posOffset>
            </wp:positionH>
            <wp:positionV relativeFrom="paragraph">
              <wp:posOffset>134620</wp:posOffset>
            </wp:positionV>
            <wp:extent cx="276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370" w:lineRule="exact"/>
        <w:rPr>
          <w:sz w:val="24"/>
          <w:szCs w:val="24"/>
          <w:color w:val="auto"/>
        </w:rPr>
      </w:pPr>
    </w:p>
    <w:p>
      <w:pPr>
        <w:jc w:val="center"/>
        <w:ind w:left="400"/>
        <w:spacing w:after="0" w:line="280"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 below):</w:t>
      </w:r>
    </w:p>
    <w:p>
      <w:pPr>
        <w:spacing w:after="0" w:line="31" w:lineRule="exact"/>
        <w:rPr>
          <w:sz w:val="24"/>
          <w:szCs w:val="24"/>
          <w:color w:val="auto"/>
        </w:rPr>
      </w:pPr>
    </w:p>
    <w:p>
      <w:pPr>
        <w:ind w:left="920" w:hanging="455"/>
        <w:spacing w:after="0"/>
        <w:tabs>
          <w:tab w:leader="none" w:pos="9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920" w:hanging="455"/>
        <w:spacing w:after="0"/>
        <w:tabs>
          <w:tab w:leader="none" w:pos="9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920" w:hanging="455"/>
        <w:spacing w:after="0"/>
        <w:tabs>
          <w:tab w:leader="none" w:pos="9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920" w:hanging="455"/>
        <w:spacing w:after="0"/>
        <w:tabs>
          <w:tab w:leader="none" w:pos="9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15"/>
        </w:trPr>
        <w:tc>
          <w:tcPr>
            <w:tcW w:w="1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tcPr>
          <w:p>
            <w:pPr>
              <w:spacing w:after="0"/>
              <w:rPr>
                <w:sz w:val="24"/>
                <w:szCs w:val="24"/>
                <w:color w:val="auto"/>
              </w:rPr>
            </w:pPr>
          </w:p>
        </w:tc>
        <w:tc>
          <w:tcPr>
            <w:tcW w:w="2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0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317"/>
        </w:trPr>
        <w:tc>
          <w:tcPr>
            <w:tcW w:w="42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820" w:type="dxa"/>
            <w:vAlign w:val="bottom"/>
          </w:tcPr>
          <w:p>
            <w:pPr>
              <w:spacing w:after="0"/>
              <w:rPr>
                <w:sz w:val="24"/>
                <w:szCs w:val="24"/>
                <w:color w:val="auto"/>
              </w:rPr>
            </w:pPr>
          </w:p>
        </w:tc>
        <w:tc>
          <w:tcPr>
            <w:tcW w:w="20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SNDK</w:t>
            </w:r>
          </w:p>
        </w:tc>
        <w:tc>
          <w:tcPr>
            <w:tcW w:w="9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3"/>
        </w:trPr>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76" w:lineRule="exact"/>
        <w:rPr>
          <w:sz w:val="24"/>
          <w:szCs w:val="24"/>
          <w:color w:val="auto"/>
        </w:rPr>
      </w:pPr>
    </w:p>
    <w:p>
      <w:pPr>
        <w:ind w:right="26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88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7" w:lineRule="exact"/>
        <w:rPr>
          <w:sz w:val="24"/>
          <w:szCs w:val="24"/>
          <w:color w:val="auto"/>
        </w:rPr>
      </w:pPr>
    </w:p>
    <w:p>
      <w:pPr>
        <w:ind w:right="48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871855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138430</wp:posOffset>
            </wp:positionV>
            <wp:extent cx="2768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ectPr>
          <w:pgSz w:w="11900" w:h="16838" w:orient="portrait"/>
          <w:cols w:equalWidth="0" w:num="1">
            <w:col w:w="11140"/>
          </w:cols>
          <w:pgMar w:left="340" w:top="1024" w:right="41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On October 29, 2026, Sandisk Corporation (the “Company”) announced financial results for the fiscal first quarter ended October 2, 2026. A copy of the press release making this announcement is attached hereto as Exhibit 99.1 and is incorporated herein by reference.</w:t>
      </w:r>
    </w:p>
    <w:p>
      <w:pPr>
        <w:spacing w:after="0" w:line="54"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On October 29, 2026, Sandisk Corporation (the “Company”) announced that its Board of Directors approved an eight-for-one forward stock split (the “Stock Split”) of its common stock, par value $0.01 per share ("Common Stock"). The Stock Split will be effected through an amendment (the “Charter Amendment”) to the Company’s Amended and Restated Certificate of Incorporation. The Charter Amendment, when effected, will proportionately increase the number of authorized shares of the Company’s Common Stock from 450 million to 3.6 billion.</w:t>
      </w:r>
    </w:p>
    <w:p>
      <w:pPr>
        <w:spacing w:after="0" w:line="72" w:lineRule="exact"/>
        <w:rPr>
          <w:sz w:val="20"/>
          <w:szCs w:val="20"/>
          <w:color w:val="auto"/>
        </w:rPr>
      </w:pPr>
    </w:p>
    <w:p>
      <w:pPr>
        <w:jc w:val="both"/>
        <w:ind w:right="200" w:firstLine="648"/>
        <w:spacing w:after="0" w:line="289" w:lineRule="auto"/>
        <w:rPr>
          <w:sz w:val="20"/>
          <w:szCs w:val="20"/>
          <w:color w:val="auto"/>
        </w:rPr>
      </w:pPr>
      <w:r>
        <w:rPr>
          <w:rFonts w:ascii="Times New Roman" w:cs="Times New Roman" w:eastAsia="Times New Roman" w:hAnsi="Times New Roman"/>
          <w:sz w:val="17"/>
          <w:szCs w:val="17"/>
          <w:color w:val="auto"/>
        </w:rPr>
        <w:t>In connection with the Stock Split, each of the Company’s stockholders of record as of the close of business on November 9, 2026 will receive seven additional shares for each share held, which will be issued after market close on Thursday, November 19, 2026. The Company’s Common Stock is expected to begin trading on a post-split basis at the market open on Friday, November 20, 2026 under the Company’s existing trading symbol “SNDK”.</w:t>
      </w:r>
    </w:p>
    <w:p>
      <w:pPr>
        <w:spacing w:after="0" w:line="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99.1</w:t>
            </w:r>
          </w:p>
        </w:tc>
        <w:tc>
          <w:tcPr>
            <w:tcW w:w="9100" w:type="dxa"/>
            <w:vAlign w:val="bottom"/>
            <w:tcBorders>
              <w:bottom w:val="single" w:sz="8" w:color="0000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issued by Sandisk Corporation on October 29, 2026 announcing financial results for the fiscal first quarter ended</w:t>
            </w:r>
          </w:p>
        </w:tc>
        <w:tc>
          <w:tcPr>
            <w:tcW w:w="0" w:type="dxa"/>
            <w:vAlign w:val="bottom"/>
          </w:tcPr>
          <w:p>
            <w:pPr>
              <w:spacing w:after="0"/>
              <w:rPr>
                <w:sz w:val="1"/>
                <w:szCs w:val="1"/>
                <w:color w:val="auto"/>
              </w:rPr>
            </w:pPr>
          </w:p>
        </w:tc>
      </w:tr>
      <w:tr>
        <w:trPr>
          <w:trHeight w:val="156"/>
        </w:trPr>
        <w:tc>
          <w:tcPr>
            <w:tcW w:w="1360" w:type="dxa"/>
            <w:vAlign w:val="bottom"/>
            <w:vMerge w:val="continue"/>
          </w:tcPr>
          <w:p>
            <w:pPr>
              <w:spacing w:after="0"/>
              <w:rPr>
                <w:sz w:val="13"/>
                <w:szCs w:val="13"/>
                <w:color w:val="auto"/>
              </w:rPr>
            </w:pPr>
          </w:p>
        </w:tc>
        <w:tc>
          <w:tcPr>
            <w:tcW w:w="1220" w:type="dxa"/>
            <w:vAlign w:val="bottom"/>
            <w:tcBorders>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October 2, 2026.</w:t>
            </w:r>
          </w:p>
        </w:tc>
        <w:tc>
          <w:tcPr>
            <w:tcW w:w="7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104</w:t>
            </w: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U.S. federal securities laws, including statements about management’s expectations regarding the timing and impact of the Stock Split. These forward-looking statements are based on management’s current expectations and are subject to risks and uncertainties that could cause actual results to differ materially from those expressed or implied in the forward looking statements. Key risks and uncertainties that could cause actual results to differ materially from those expressed or implied in the forward-looking statements include the risk that the Stock Split is prevented from taking effect or is delayed due to legal or regulatory constraints; and other risks and uncertainties listed in the Company’s filings with the Securities and Exchange Commission (the "SEC"), including our Annual Report on Form 10-K filed with the SEC on August 17, 2026, to which your attention is directed. You should not place undue reliance on these forward-looking statements, which speak only as of the date hereof, and the Company undertakes no obligation to update or revise these forward-looking statements to reflect new information or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8"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95" w:lineRule="exact"/>
        <w:rPr>
          <w:sz w:val="20"/>
          <w:szCs w:val="20"/>
          <w:color w:val="auto"/>
        </w:rPr>
      </w:pPr>
    </w:p>
    <w:p>
      <w:pPr>
        <w:ind w:left="50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Bernard 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83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Bernard Shek</w:t>
      </w:r>
    </w:p>
    <w:p>
      <w:pPr>
        <w:spacing w:after="0" w:line="2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Chief Legal Officer</w:t>
      </w:r>
    </w:p>
    <w:p>
      <w:pPr>
        <w:ind w:left="7920"/>
        <w:spacing w:after="0"/>
        <w:rPr>
          <w:sz w:val="20"/>
          <w:szCs w:val="20"/>
          <w:color w:val="auto"/>
        </w:rPr>
      </w:pPr>
      <w:r>
        <w:rPr>
          <w:rFonts w:ascii="Times New Roman" w:cs="Times New Roman" w:eastAsia="Times New Roman" w:hAnsi="Times New Roman"/>
          <w:sz w:val="18"/>
          <w:szCs w:val="18"/>
          <w:color w:val="auto"/>
        </w:rPr>
        <w:t>and Secretary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October 29, 2026</w:t>
      </w:r>
    </w:p>
    <w:p>
      <w:pPr>
        <w:sectPr>
          <w:pgSz w:w="11900" w:h="16838" w:orient="portrait"/>
          <w:cols w:equalWidth="0" w:num="1">
            <w:col w:w="10980"/>
          </w:cols>
          <w:pgMar w:left="320" w:top="927"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33731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731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Sandisk Reports Fiscal First Quarter 2027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Summary</w:t>
      </w:r>
    </w:p>
    <w:p>
      <w:pPr>
        <w:spacing w:after="0" w:line="229" w:lineRule="exact"/>
        <w:rPr>
          <w:sz w:val="20"/>
          <w:szCs w:val="20"/>
          <w:color w:val="auto"/>
        </w:rPr>
      </w:pPr>
    </w:p>
    <w:p>
      <w:pPr>
        <w:ind w:left="660" w:right="80" w:hanging="328"/>
        <w:spacing w:after="0" w:line="282" w:lineRule="auto"/>
        <w:tabs>
          <w:tab w:leader="none" w:pos="6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Fiscal first quarter revenue was $11.0 billion, up 23% sequentially, with GAAP net income reported at $8.1 billion ($52.60 diluted net income per share, up 20% sequentially). First quarter Non-GAAP diluted net income per share was $49.51.</w:t>
      </w:r>
    </w:p>
    <w:p>
      <w:pPr>
        <w:spacing w:after="0" w:line="161" w:lineRule="exact"/>
        <w:rPr>
          <w:rFonts w:ascii="Times New Roman" w:cs="Times New Roman" w:eastAsia="Times New Roman" w:hAnsi="Times New Roman"/>
          <w:sz w:val="18"/>
          <w:szCs w:val="18"/>
          <w:b w:val="1"/>
          <w:bCs w:val="1"/>
          <w:color w:val="auto"/>
        </w:rPr>
      </w:pPr>
    </w:p>
    <w:p>
      <w:pPr>
        <w:ind w:left="660" w:right="4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Returned $5.0 billion to stockholders through the repurchase of approximately 3.2 million shares during the quarter. Over the past two fiscal quarters, repurchased 6.0 million shares, representing approximately 4% of total shares outstanding.</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today an eight-for-one forward stock split, effective November 19, 2026, to make stock more accessible, including to employees through its employee stock purchase plan.</w:t>
      </w:r>
    </w:p>
    <w:p>
      <w:pPr>
        <w:spacing w:after="0" w:line="161" w:lineRule="exact"/>
        <w:rPr>
          <w:rFonts w:ascii="Times New Roman" w:cs="Times New Roman" w:eastAsia="Times New Roman" w:hAnsi="Times New Roman"/>
          <w:sz w:val="18"/>
          <w:szCs w:val="18"/>
          <w:color w:val="auto"/>
        </w:rPr>
      </w:pPr>
    </w:p>
    <w:p>
      <w:pPr>
        <w:ind w:left="660" w:right="60" w:hanging="328"/>
        <w:spacing w:after="0" w:line="295" w:lineRule="auto"/>
        <w:tabs>
          <w:tab w:leader="none" w:pos="6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Expect second quarter 2027 revenue to be in the range of $12.2 billion to $12.6 billion, with expected Non-GAAP diluted net income per share on a pre-split basis in the range of $55.00 to $57.00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MILPITAS, Calif. — October 29, 2026 — Sandisk Corporation (Nasdaq: SNDK) today reported fiscal first quarter financial results.</w:t>
      </w:r>
    </w:p>
    <w:p>
      <w:pPr>
        <w:spacing w:after="0" w:line="2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have started fiscal year 2027 with another quarter of strong performance, with robust and growing demand for our products driving outpaced growth in our data center business,” said David Goeckeler, Chairman and Chief Executive Officer of Sandisk. “We are executing on the strategy that we outlined at Investor Day, delivering growing and durable free cash flow through our technology leadership, deep customer partnerships, and disciplined financial management.”</w:t>
      </w:r>
    </w:p>
    <w:p>
      <w:pPr>
        <w:spacing w:after="0" w:line="208"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Sandisk also announced an eight-for-one forward stock split of its common stock to make the stock more accessible, including to employees. The stock split will be effected through an amendment to Sandisk’s Amended and Restated Certificate of Incorporation. Each of the Company’s stockholders of record as of the close of business on November 9, 2026 will receive seven additional shares for each share held, which will be issued after market close on Thursday, November 19, 2026. Trading is expected to begin on a post-split adjusted basis at the market open on Friday, November 20, 2026. Sandisk’s overall market capitalization and stockholder ownership percentages will not be affected by the stock split. Additional information, including FAQs, regarding the stock split can be found at investor.sandisk.com.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2263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60" w:lineRule="exact"/>
        <w:rPr>
          <w:sz w:val="20"/>
          <w:szCs w:val="20"/>
          <w:color w:val="auto"/>
        </w:rPr>
      </w:pPr>
    </w:p>
    <w:p>
      <w:pPr>
        <w:ind w:right="320" w:firstLine="8"/>
        <w:spacing w:after="0" w:line="229" w:lineRule="auto"/>
        <w:tabs>
          <w:tab w:leader="none" w:pos="10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per-share information and metrics in this earnings release are presented on a pre-split basis and do not reflect the recently announced 8-for-1 stock split.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Q1 2027 Financial Highlights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Non-GAAP</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 millions, except per share amounts)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Q1 2027</w:t>
            </w:r>
          </w:p>
        </w:tc>
        <w:tc>
          <w:tcPr>
            <w:tcW w:w="80" w:type="dxa"/>
            <w:vAlign w:val="bottom"/>
            <w:vMerge w:val="restart"/>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Q4 2026</w:t>
            </w:r>
          </w:p>
        </w:tc>
        <w:tc>
          <w:tcPr>
            <w:tcW w:w="100" w:type="dxa"/>
            <w:vAlign w:val="bottom"/>
            <w:vMerge w:val="restart"/>
          </w:tcPr>
          <w:p>
            <w:pPr>
              <w:spacing w:after="0"/>
              <w:rPr>
                <w:sz w:val="24"/>
                <w:szCs w:val="2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Q/Q</w:t>
            </w:r>
          </w:p>
        </w:tc>
        <w:tc>
          <w:tcPr>
            <w:tcW w:w="100" w:type="dxa"/>
            <w:vAlign w:val="bottom"/>
            <w:vMerge w:val="restart"/>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Q1 2027</w:t>
            </w:r>
          </w:p>
        </w:tc>
        <w:tc>
          <w:tcPr>
            <w:tcW w:w="80" w:type="dxa"/>
            <w:vAlign w:val="bottom"/>
            <w:vMerge w:val="restart"/>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Q4 2026</w:t>
            </w:r>
          </w:p>
        </w:tc>
        <w:tc>
          <w:tcPr>
            <w:tcW w:w="100" w:type="dxa"/>
            <w:vAlign w:val="bottom"/>
            <w:vMerge w:val="restart"/>
          </w:tcPr>
          <w:p>
            <w:pPr>
              <w:spacing w:after="0"/>
              <w:rPr>
                <w:sz w:val="24"/>
                <w:szCs w:val="2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Q/Q</w:t>
            </w:r>
          </w:p>
        </w:tc>
        <w:tc>
          <w:tcPr>
            <w:tcW w:w="0" w:type="dxa"/>
            <w:vAlign w:val="bottom"/>
          </w:tcPr>
          <w:p>
            <w:pPr>
              <w:spacing w:after="0"/>
              <w:rPr>
                <w:sz w:val="1"/>
                <w:szCs w:val="1"/>
                <w:color w:val="auto"/>
              </w:rPr>
            </w:pPr>
          </w:p>
        </w:tc>
      </w:tr>
      <w:tr>
        <w:trPr>
          <w:trHeight w:val="121"/>
        </w:trPr>
        <w:tc>
          <w:tcPr>
            <w:tcW w:w="36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$11,031</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$8,965</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up 23%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$11,031</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$8,965</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up 23%</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85.0%</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up 0.4 ppt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up 0.5 ppt</w:t>
            </w:r>
          </w:p>
        </w:tc>
        <w:tc>
          <w:tcPr>
            <w:tcW w:w="0" w:type="dxa"/>
            <w:vAlign w:val="bottom"/>
          </w:tcPr>
          <w:p>
            <w:pPr>
              <w:spacing w:after="0"/>
              <w:rPr>
                <w:sz w:val="1"/>
                <w:szCs w:val="1"/>
                <w:color w:val="auto"/>
              </w:rPr>
            </w:pPr>
          </w:p>
        </w:tc>
      </w:tr>
      <w:tr>
        <w:trPr>
          <w:trHeight w:val="26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$598</w:t>
            </w: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$545</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up 10%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$513</w:t>
            </w: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up 6%</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$8,780</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$7,037</w:t>
            </w:r>
          </w:p>
        </w:tc>
        <w:tc>
          <w:tcPr>
            <w:tcW w:w="1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up 25%</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$8,871</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$7,104</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up 25%</w:t>
            </w:r>
          </w:p>
        </w:tc>
        <w:tc>
          <w:tcPr>
            <w:tcW w:w="0" w:type="dxa"/>
            <w:vAlign w:val="bottom"/>
          </w:tcPr>
          <w:p>
            <w:pPr>
              <w:spacing w:after="0"/>
              <w:rPr>
                <w:sz w:val="1"/>
                <w:szCs w:val="1"/>
                <w:color w:val="auto"/>
              </w:rPr>
            </w:pPr>
          </w:p>
        </w:tc>
      </w:tr>
      <w:tr>
        <w:trPr>
          <w:trHeight w:val="26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$8,101</w:t>
            </w: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$6,903</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up 17%</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$7,624</w:t>
            </w: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$6,162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up 24%</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$52.60</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$43.97</w:t>
            </w: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up 20%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$49.51</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$39.25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up 26%</w:t>
            </w:r>
          </w:p>
        </w:tc>
        <w:tc>
          <w:tcPr>
            <w:tcW w:w="0" w:type="dxa"/>
            <w:vAlign w:val="bottom"/>
          </w:tcPr>
          <w:p>
            <w:pPr>
              <w:spacing w:after="0"/>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GAAP</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Non-GAAP</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 millions, except per share amounts)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Q1 2027</w:t>
            </w: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Q1 2026</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Y/Y</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Q1 2027</w:t>
            </w:r>
          </w:p>
        </w:tc>
        <w:tc>
          <w:tcPr>
            <w:tcW w:w="80" w:type="dxa"/>
            <w:vAlign w:val="bottom"/>
            <w:gridSpan w:val="2"/>
            <w:vMerge w:val="restart"/>
          </w:tcPr>
          <w:p>
            <w:pPr>
              <w:spacing w:after="0"/>
              <w:rPr>
                <w:sz w:val="24"/>
                <w:szCs w:val="24"/>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Q1 2026</w:t>
            </w:r>
          </w:p>
        </w:tc>
        <w:tc>
          <w:tcPr>
            <w:tcW w:w="100" w:type="dxa"/>
            <w:vAlign w:val="bottom"/>
            <w:gridSpan w:val="2"/>
            <w:vMerge w:val="restart"/>
          </w:tcPr>
          <w:p>
            <w:pPr>
              <w:spacing w:after="0"/>
              <w:rPr>
                <w:sz w:val="24"/>
                <w:szCs w:val="2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Y/Y</w:t>
            </w:r>
          </w:p>
        </w:tc>
        <w:tc>
          <w:tcPr>
            <w:tcW w:w="0" w:type="dxa"/>
            <w:vAlign w:val="bottom"/>
          </w:tcPr>
          <w:p>
            <w:pPr>
              <w:spacing w:after="0"/>
              <w:rPr>
                <w:sz w:val="1"/>
                <w:szCs w:val="1"/>
                <w:color w:val="auto"/>
              </w:rPr>
            </w:pPr>
          </w:p>
        </w:tc>
      </w:tr>
      <w:tr>
        <w:trPr>
          <w:trHeight w:val="121"/>
        </w:trPr>
        <w:tc>
          <w:tcPr>
            <w:tcW w:w="36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gridSpan w:val="2"/>
            <w:vMerge w:val="continue"/>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$11,031</w:t>
            </w:r>
          </w:p>
        </w:tc>
        <w:tc>
          <w:tcPr>
            <w:tcW w:w="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$2,308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up 378%</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$11,031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$2,308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up 378%</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85.0%</w:t>
            </w:r>
          </w:p>
        </w:tc>
        <w:tc>
          <w:tcPr>
            <w:tcW w:w="8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up 55.2 ppt</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85.1%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up 55.2 ppt</w:t>
            </w:r>
          </w:p>
        </w:tc>
        <w:tc>
          <w:tcPr>
            <w:tcW w:w="0" w:type="dxa"/>
            <w:vAlign w:val="bottom"/>
          </w:tcPr>
          <w:p>
            <w:pPr>
              <w:spacing w:after="0"/>
              <w:rPr>
                <w:sz w:val="1"/>
                <w:szCs w:val="1"/>
                <w:color w:val="auto"/>
              </w:rPr>
            </w:pPr>
          </w:p>
        </w:tc>
      </w:tr>
      <w:tr>
        <w:trPr>
          <w:trHeight w:val="26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$598</w:t>
            </w:r>
          </w:p>
        </w:tc>
        <w:tc>
          <w:tcPr>
            <w:tcW w:w="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up 17%</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up 15%</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$8,780</w:t>
            </w:r>
          </w:p>
        </w:tc>
        <w:tc>
          <w:tcPr>
            <w:tcW w:w="8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$176</w:t>
            </w:r>
          </w:p>
        </w:tc>
        <w:tc>
          <w:tcPr>
            <w:tcW w:w="100" w:type="dxa"/>
            <w:vAlign w:val="bottom"/>
          </w:tcPr>
          <w:p>
            <w:pPr>
              <w:spacing w:after="0"/>
              <w:rPr>
                <w:sz w:val="21"/>
                <w:szCs w:val="21"/>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1"/>
                <w:szCs w:val="21"/>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$8,871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$8,101</w:t>
            </w:r>
          </w:p>
        </w:tc>
        <w:tc>
          <w:tcPr>
            <w:tcW w:w="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$112</w:t>
            </w:r>
          </w:p>
        </w:tc>
        <w:tc>
          <w:tcPr>
            <w:tcW w:w="10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$7,624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$52.60</w:t>
            </w: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$0.75</w:t>
            </w:r>
          </w:p>
        </w:tc>
        <w:tc>
          <w:tcPr>
            <w:tcW w:w="10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$49.51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 Not a meaningful figure</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 Market Summary</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bottom w:val="single" w:sz="8" w:color="auto"/>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bottom w:val="single" w:sz="8" w:color="auto"/>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 ($ in millions)</w:t>
            </w:r>
          </w:p>
        </w:tc>
        <w:tc>
          <w:tcPr>
            <w:tcW w:w="1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Q1 2027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Q4 2026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Q/Q</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Q1 2026</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Y/Y</w:t>
            </w:r>
          </w:p>
        </w:tc>
        <w:tc>
          <w:tcPr>
            <w:tcW w:w="0" w:type="dxa"/>
            <w:vAlign w:val="bottom"/>
          </w:tcPr>
          <w:p>
            <w:pPr>
              <w:spacing w:after="0"/>
              <w:rPr>
                <w:sz w:val="1"/>
                <w:szCs w:val="1"/>
                <w:color w:val="auto"/>
              </w:rPr>
            </w:pPr>
          </w:p>
        </w:tc>
      </w:tr>
      <w:tr>
        <w:trPr>
          <w:trHeight w:val="28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Datacenter</w:t>
            </w: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$4,802</w:t>
            </w:r>
          </w:p>
        </w:tc>
        <w:tc>
          <w:tcPr>
            <w:tcW w:w="10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$2,977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up 61%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Edge</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$5,832</w:t>
            </w:r>
          </w:p>
        </w:tc>
        <w:tc>
          <w:tcPr>
            <w:tcW w:w="100" w:type="dxa"/>
            <w:vAlign w:val="bottom"/>
          </w:tcPr>
          <w:p>
            <w:pPr>
              <w:spacing w:after="0"/>
              <w:rPr>
                <w:sz w:val="21"/>
                <w:szCs w:val="21"/>
                <w:color w:val="auto"/>
              </w:rPr>
            </w:pPr>
          </w:p>
        </w:tc>
        <w:tc>
          <w:tcPr>
            <w:tcW w:w="1180" w:type="dxa"/>
            <w:vAlign w:val="bottom"/>
            <w:gridSpan w:val="3"/>
          </w:tcPr>
          <w:p>
            <w:pPr>
              <w:jc w:val="center"/>
              <w:ind w:left="139"/>
              <w:spacing w:after="0"/>
              <w:rPr>
                <w:sz w:val="20"/>
                <w:szCs w:val="20"/>
                <w:color w:val="auto"/>
              </w:rPr>
            </w:pPr>
            <w:r>
              <w:rPr>
                <w:rFonts w:ascii="Times New Roman" w:cs="Times New Roman" w:eastAsia="Times New Roman" w:hAnsi="Times New Roman"/>
                <w:sz w:val="16"/>
                <w:szCs w:val="16"/>
                <w:color w:val="auto"/>
                <w:w w:val="99"/>
              </w:rPr>
              <w:t>$5,432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up 7%</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up 320%</w:t>
            </w:r>
          </w:p>
        </w:tc>
        <w:tc>
          <w:tcPr>
            <w:tcW w:w="0" w:type="dxa"/>
            <w:vAlign w:val="bottom"/>
          </w:tcPr>
          <w:p>
            <w:pPr>
              <w:spacing w:after="0"/>
              <w:rPr>
                <w:sz w:val="1"/>
                <w:szCs w:val="1"/>
                <w:color w:val="auto"/>
              </w:rPr>
            </w:pPr>
          </w:p>
        </w:tc>
      </w:tr>
      <w:tr>
        <w:trPr>
          <w:trHeight w:val="26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$556</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down 29%</w:t>
            </w:r>
          </w:p>
        </w:tc>
        <w:tc>
          <w:tcPr>
            <w:tcW w:w="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down 39%</w:t>
            </w:r>
          </w:p>
        </w:tc>
        <w:tc>
          <w:tcPr>
            <w:tcW w:w="0" w:type="dxa"/>
            <w:vAlign w:val="bottom"/>
          </w:tcPr>
          <w:p>
            <w:pPr>
              <w:spacing w:after="0"/>
              <w:rPr>
                <w:sz w:val="1"/>
                <w:szCs w:val="1"/>
                <w:color w:val="auto"/>
              </w:rPr>
            </w:pPr>
          </w:p>
        </w:tc>
      </w:tr>
      <w:tr>
        <w:trPr>
          <w:trHeight w:val="257"/>
        </w:trPr>
        <w:tc>
          <w:tcPr>
            <w:tcW w:w="3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color w:val="auto"/>
                <w:w w:val="99"/>
              </w:rPr>
              <w:t>$11,031</w:t>
            </w:r>
          </w:p>
        </w:tc>
        <w:tc>
          <w:tcPr>
            <w:tcW w:w="100" w:type="dxa"/>
            <w:vAlign w:val="bottom"/>
          </w:tcPr>
          <w:p>
            <w:pPr>
              <w:spacing w:after="0"/>
              <w:rPr>
                <w:sz w:val="22"/>
                <w:szCs w:val="22"/>
                <w:color w:val="auto"/>
              </w:rPr>
            </w:pPr>
          </w:p>
        </w:tc>
        <w:tc>
          <w:tcPr>
            <w:tcW w:w="1180" w:type="dxa"/>
            <w:vAlign w:val="bottom"/>
            <w:gridSpan w:val="3"/>
          </w:tcPr>
          <w:p>
            <w:pPr>
              <w:jc w:val="center"/>
              <w:ind w:left="139"/>
              <w:spacing w:after="0"/>
              <w:rPr>
                <w:sz w:val="20"/>
                <w:szCs w:val="20"/>
                <w:color w:val="auto"/>
              </w:rPr>
            </w:pPr>
            <w:r>
              <w:rPr>
                <w:rFonts w:ascii="Times New Roman" w:cs="Times New Roman" w:eastAsia="Times New Roman" w:hAnsi="Times New Roman"/>
                <w:sz w:val="16"/>
                <w:szCs w:val="16"/>
                <w:color w:val="auto"/>
                <w:w w:val="99"/>
              </w:rPr>
              <w:t>$8,965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up 23%</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up 378%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a meaningful figure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details can be found within the Company’s earnings presentation, which is accessible online at </w:t>
      </w:r>
      <w:r>
        <w:rPr>
          <w:rFonts w:ascii="Times New Roman" w:cs="Times New Roman" w:eastAsia="Times New Roman" w:hAnsi="Times New Roman"/>
          <w:sz w:val="18"/>
          <w:szCs w:val="18"/>
          <w:u w:val="single" w:color="auto"/>
          <w:color w:val="auto"/>
        </w:rPr>
        <w:t>investor.sandisk.com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Outlook for Fiscal Second Quarter of 2027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millions, except per share amounts)</w:t>
            </w:r>
          </w:p>
        </w:tc>
        <w:tc>
          <w:tcPr>
            <w:tcW w:w="3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GAAP</w:t>
            </w:r>
          </w:p>
        </w:tc>
        <w:tc>
          <w:tcPr>
            <w:tcW w:w="374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b w:val="1"/>
                <w:bCs w:val="1"/>
                <w:color w:val="auto"/>
              </w:rPr>
              <w:t>Non-GAAP</w:t>
            </w:r>
            <w:r>
              <w:rPr>
                <w:rFonts w:ascii="Times New Roman" w:cs="Times New Roman" w:eastAsia="Times New Roman" w:hAnsi="Times New Roman"/>
                <w:sz w:val="21"/>
                <w:szCs w:val="21"/>
                <w:b w:val="1"/>
                <w:bCs w:val="1"/>
                <w:color w:val="auto"/>
                <w:vertAlign w:val="superscript"/>
              </w:rPr>
              <w:t>(1)</w:t>
            </w:r>
          </w:p>
        </w:tc>
      </w:tr>
      <w:tr>
        <w:trPr>
          <w:trHeight w:val="25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$12,600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$12,600</w:t>
            </w:r>
          </w:p>
        </w:tc>
      </w:tr>
      <w:tr>
        <w:trPr>
          <w:trHeight w:val="24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- 85.4%</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- 85.5%</w:t>
            </w:r>
          </w:p>
        </w:tc>
      </w:tr>
      <w:tr>
        <w:trPr>
          <w:trHeight w:val="26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$745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$560</w:t>
            </w:r>
          </w:p>
        </w:tc>
      </w:tr>
      <w:tr>
        <w:trPr>
          <w:trHeight w:val="25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Tax Expense </w:t>
            </w:r>
            <w:r>
              <w:rPr>
                <w:rFonts w:ascii="Times New Roman" w:cs="Times New Roman" w:eastAsia="Times New Roman" w:hAnsi="Times New Roman"/>
                <w:sz w:val="21"/>
                <w:szCs w:val="21"/>
                <w:color w:val="auto"/>
                <w:vertAlign w:val="superscript"/>
              </w:rPr>
              <w:t>(2)</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3740" w:type="dxa"/>
            <w:vAlign w:val="bottom"/>
            <w:gridSpan w:val="2"/>
          </w:tcPr>
          <w:p>
            <w:pPr>
              <w:jc w:val="right"/>
              <w:ind w:right="1579"/>
              <w:spacing w:after="0"/>
              <w:rPr>
                <w:sz w:val="20"/>
                <w:szCs w:val="20"/>
                <w:color w:val="auto"/>
              </w:rPr>
            </w:pPr>
            <w:r>
              <w:rPr>
                <w:rFonts w:ascii="Times New Roman" w:cs="Times New Roman" w:eastAsia="Times New Roman" w:hAnsi="Times New Roman"/>
                <w:sz w:val="16"/>
                <w:szCs w:val="16"/>
                <w:color w:val="auto"/>
              </w:rPr>
              <w:t>14.3%</w:t>
            </w:r>
          </w:p>
        </w:tc>
      </w:tr>
      <w:tr>
        <w:trPr>
          <w:trHeight w:val="25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$57.00</w:t>
            </w: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37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 151</w:t>
            </w:r>
          </w:p>
        </w:tc>
        <w:tc>
          <w:tcPr>
            <w:tcW w:w="3740" w:type="dxa"/>
            <w:vAlign w:val="bottom"/>
            <w:gridSpan w:val="2"/>
          </w:tcPr>
          <w:p>
            <w:pPr>
              <w:jc w:val="right"/>
              <w:ind w:right="1619"/>
              <w:spacing w:after="0"/>
              <w:rPr>
                <w:sz w:val="20"/>
                <w:szCs w:val="20"/>
                <w:color w:val="auto"/>
              </w:rPr>
            </w:pPr>
            <w:r>
              <w:rPr>
                <w:rFonts w:ascii="Times New Roman" w:cs="Times New Roman" w:eastAsia="Times New Roman" w:hAnsi="Times New Roman"/>
                <w:sz w:val="16"/>
                <w:szCs w:val="16"/>
                <w:color w:val="auto"/>
              </w:rPr>
              <w:t>~ 151</w:t>
            </w:r>
          </w:p>
        </w:tc>
      </w:tr>
    </w:tbl>
    <w:p>
      <w:pPr>
        <w:spacing w:after="0" w:line="366" w:lineRule="exact"/>
        <w:rPr>
          <w:sz w:val="20"/>
          <w:szCs w:val="20"/>
          <w:color w:val="auto"/>
        </w:rPr>
      </w:pPr>
    </w:p>
    <w:p>
      <w:pPr>
        <w:ind w:right="40" w:firstLine="8"/>
        <w:spacing w:after="0" w:line="3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guidance excludes stock-based compensation expense, totaling approximately $9 million to $12 million. The Company’s Non-GAAP operating expenses guidance excludes stock-based compensation expense, totaling approximately $137 million to $185 million. Non-GAAP diluted net income per share guidance excludes these items totaling $146 million to $197 million. The timing and amount of charges excluded from Non-GAAP gross margin, Non-GAAP operating expenses, and Non-GAAP diluted net income per share cannot be further allocated or quantified with certainty. Additionally, the timing and amount of certain other adjustments included in the Company's Non-GAAP diluted net income per share guidance are dependent on the timing and determination of certain actions or events and cannot be reasonably predicted. Accordingly, full reconciliations of Non-GAAP gross margin, Non-GAAP operating expenses, and Non-GAAP diluted net income per share to the most directly comparable GAAP financial measures (gross margin, operating expenses, and diluted net income per share, respectively) are not available without unreasonable effort.</w:t>
      </w:r>
    </w:p>
    <w:p>
      <w:pPr>
        <w:spacing w:after="0" w:line="188" w:lineRule="exact"/>
        <w:rPr>
          <w:rFonts w:ascii="Times New Roman" w:cs="Times New Roman" w:eastAsia="Times New Roman" w:hAnsi="Times New Roman"/>
          <w:sz w:val="18"/>
          <w:szCs w:val="18"/>
          <w:color w:val="auto"/>
        </w:rPr>
      </w:pPr>
    </w:p>
    <w:p>
      <w:pPr>
        <w:ind w:right="80" w:firstLine="8"/>
        <w:spacing w:after="0" w:line="37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tax expense is determined based on a Non-GAAP pre-tax income or loss. Our estimated Non-GAAP tax expense may differ from our GAAP tax expense (i) due to differences in the tax treatment of items excluded from our Non-GAAP net income or loss; (ii) due to the fact that our GAAP income tax expense or benefit recorded in any interim period is based on an estimated forecasted GAAP tax expense for the full year, excluding loss jurisdictions; and (iii) because our GAAP taxes recorded in any interim period are dependent on the timing and determination of certain GAAP operating expenses.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Investor Communications</w:t>
      </w:r>
    </w:p>
    <w:p>
      <w:pPr>
        <w:spacing w:after="0" w:line="108"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 xml:space="preserve">The investment community conference call to discuss fiscal first quarter results and the Company’s business outlook for the fiscal second quarter of 2027 will be broadcast live online today at 1:30 p.m. Pacific/4:30 p.m. Eastern. The live and archived conference call/webcast and the earnings presentation can be accessed online at </w:t>
      </w:r>
      <w:r>
        <w:rPr>
          <w:rFonts w:ascii="Times New Roman" w:cs="Times New Roman" w:eastAsia="Times New Roman" w:hAnsi="Times New Roman"/>
          <w:sz w:val="18"/>
          <w:szCs w:val="18"/>
          <w:u w:val="single" w:color="auto"/>
          <w:color w:val="auto"/>
        </w:rPr>
        <w:t>investor.sandisk.com</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Sandisk</w:t>
      </w:r>
    </w:p>
    <w:p>
      <w:pPr>
        <w:spacing w:after="0" w:line="108" w:lineRule="exact"/>
        <w:rPr>
          <w:sz w:val="20"/>
          <w:szCs w:val="20"/>
          <w:color w:val="auto"/>
        </w:rPr>
      </w:pPr>
    </w:p>
    <w:p>
      <w:pPr>
        <w:ind w:right="80"/>
        <w:spacing w:after="0" w:line="375" w:lineRule="auto"/>
        <w:rPr>
          <w:sz w:val="20"/>
          <w:szCs w:val="20"/>
          <w:color w:val="auto"/>
        </w:rPr>
      </w:pPr>
      <w:r>
        <w:rPr>
          <w:rFonts w:ascii="Times New Roman" w:cs="Times New Roman" w:eastAsia="Times New Roman" w:hAnsi="Times New Roman"/>
          <w:sz w:val="18"/>
          <w:szCs w:val="18"/>
          <w:color w:val="auto"/>
        </w:rPr>
        <w:t xml:space="preserve">Built on more than three decades of innovation, Sandisk is a vertically integrated global semiconductor company dedicated to delivering memory technologies that help people and businesses unlock the potential of their data. From the enterprise SSDs powering AI infrastructure to consumer devices and connected systems at the edge, Sandisk designs and manufactures memory solutions that fuel the modern digital economy. To learn more, visit </w:t>
      </w:r>
      <w:r>
        <w:rPr>
          <w:rFonts w:ascii="Times New Roman" w:cs="Times New Roman" w:eastAsia="Times New Roman" w:hAnsi="Times New Roman"/>
          <w:sz w:val="18"/>
          <w:szCs w:val="18"/>
          <w:u w:val="single" w:color="auto"/>
          <w:color w:val="auto"/>
        </w:rPr>
        <w:t>www.sandisk.com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98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spacing w:after="0" w:line="36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U.S. federal securities laws, including statements regarding expectations for: the Company’s business outlook and operational and financial performance for the fiscal second quarter of 2027 and beyond; growth and demand trends for the Company's products and business; the benefits of the Company’s technology leadership, customer partnerships, and financial management strategy; the Company’s ability to execute on its business strategy and deliver growing and durable free cash flow; and the timing and impact of the stock split. These forward-looking statements are based on management’s current expectations and are subject to risks and uncertainties that could cause actual results to differ materially from those expressed or implied in the forward looking statements. The financial results for the Company’s fiscal first quarter ended October 2, 2026 included in this press release represent the most current information available to management. Actual results when disclosed in the Company’s Form 10-Q may differ from these results as a result of the completion of the Company’s financial closing procedures; final adjustments; completion of the review by the Company’s independent registered accounting firm; and other developments that may arise between now and the filing of the Company’s Form 10-Q. Other key risks and uncertainties that could cause actual results to differ materially from those expressed or implied in the forward-looking statements include: adverse changes in global or regional economic conditions, including the impact of evolving trade policies, tariff regimes, and trade wars, and the effects of global health crises; volatility in demand for the Company’s products; pricing trends and fluctuations in average selling prices; inflation; changes in interest rates and a potential economic recession; the impact of business and market conditions; the impact of competitive products and pricing; the Company’s development and introduction of products based on new technologies and management of technology transitions; risks associated with strategic initiatives, including restructurings, acquisitions, divestitures, cost saving measures and joint ventures; risks related to product defects; difficulties or delays in product ramps, manufacturing or other supply chain disruptions; our reliance on strategic relationships with key partners, including Kioxia Corporation; risks related to our long-term agreements, or New Business Models ("NBMs"); fluctuation of our operating results, including due to changes in demand, industry cycle and timing of customer deployments, and our ability to accurately forecast demand; the attraction, retention and development of skilled management and technical talent; risks associated with the use of artificial intelligence in our business operations; risks related to the Company's financial guarantees and other financial obligations; risks related to the Company's share repurchase program; changes to the Company’s relationships with key customers or consolidation among our customer base; compromise, damage or interruption from cybersecurity incidents or other data system security risks; our reliance on intellectual property; fluctuations in currency exchange rates; actions by competitors; risks associated with compliance with changing legal and regulatory requirements; and other risks and uncertainties listed in the Company’s filings with the Securities and Exchange Commission (the "SEC"), including our Annual Report on Form 10-K, as such filings may be amended, supplemented or superseded from time to time by other reports the Company files with the SEC, to which your attention is directed. You should not place undue reliance on these forward-looking statements, which speak only as of the date hereof, and the Company undertakes no obligation to update or revise these forward-looking statements to reflect new information or events, except as required by law.</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Sandisk and the Sandisk logo are registered trademarks or trademarks of Sandisk Corporation or its affiliates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July 3,</w:t>
            </w:r>
          </w:p>
        </w:tc>
      </w:tr>
      <w:tr>
        <w:trPr>
          <w:trHeight w:val="212"/>
        </w:trPr>
        <w:tc>
          <w:tcPr>
            <w:tcW w:w="720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33"/>
        </w:trPr>
        <w:tc>
          <w:tcPr>
            <w:tcW w:w="7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20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4,708</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receivable</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4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40"/>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12,780</w:t>
            </w:r>
          </w:p>
        </w:tc>
      </w:tr>
      <w:tr>
        <w:trPr>
          <w:trHeight w:val="26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equity securities</w:t>
            </w: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26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w:t>
            </w:r>
          </w:p>
        </w:tc>
      </w:tr>
      <w:tr>
        <w:trPr>
          <w:trHeight w:val="26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 non-current</w:t>
            </w: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6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43"/>
        </w:trPr>
        <w:tc>
          <w:tcPr>
            <w:tcW w:w="7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40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25,793</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22,507</w:t>
            </w:r>
          </w:p>
        </w:tc>
      </w:tr>
      <w:tr>
        <w:trPr>
          <w:trHeight w:val="21"/>
        </w:trPr>
        <w:tc>
          <w:tcPr>
            <w:tcW w:w="7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0"/>
        </w:trPr>
        <w:tc>
          <w:tcPr>
            <w:tcW w:w="8600" w:type="dxa"/>
            <w:vAlign w:val="bottom"/>
            <w:gridSpan w:val="2"/>
            <w:shd w:val="clear" w:color="auto" w:fill="CCEEFF"/>
          </w:tcPr>
          <w:p>
            <w:pPr>
              <w:ind w:left="38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Refund liabilities</w:t>
            </w: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 current</w:t>
            </w:r>
          </w:p>
        </w:tc>
        <w:tc>
          <w:tcPr>
            <w:tcW w:w="14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r>
      <w:tr>
        <w:trPr>
          <w:trHeight w:val="240"/>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w:t>
            </w:r>
          </w:p>
        </w:tc>
      </w:tr>
      <w:tr>
        <w:trPr>
          <w:trHeight w:val="26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contract liabilities</w:t>
            </w: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6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payable, non-current</w:t>
            </w: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5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56"/>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w:t>
            </w: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5"/>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 authorized — 450 shares; issued — 150 shares and outstanding — 144</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(as of July 3, 2026 issued — 149 shares and outstanding — 146 shares)</w:t>
            </w:r>
          </w:p>
        </w:tc>
        <w:tc>
          <w:tcPr>
            <w:tcW w:w="140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4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17,750</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9,649</w:t>
            </w:r>
          </w:p>
        </w:tc>
      </w:tr>
      <w:tr>
        <w:trPr>
          <w:trHeight w:val="244"/>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4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18,134</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15,736</w:t>
            </w:r>
          </w:p>
        </w:tc>
      </w:tr>
      <w:tr>
        <w:trPr>
          <w:trHeight w:val="275"/>
        </w:trPr>
        <w:tc>
          <w:tcPr>
            <w:tcW w:w="7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25,793</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92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9"/>
                <w:szCs w:val="19"/>
                <w:color w:val="auto"/>
              </w:rPr>
            </w:pPr>
          </w:p>
        </w:tc>
      </w:tr>
      <w:tr>
        <w:trPr>
          <w:trHeight w:val="214"/>
        </w:trPr>
        <w:tc>
          <w:tcPr>
            <w:tcW w:w="7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520" w:type="dxa"/>
            <w:vAlign w:val="bottom"/>
          </w:tcPr>
          <w:p>
            <w:pPr>
              <w:spacing w:after="0"/>
              <w:rPr>
                <w:sz w:val="18"/>
                <w:szCs w:val="18"/>
                <w:color w:val="auto"/>
              </w:rPr>
            </w:pPr>
          </w:p>
        </w:tc>
      </w:tr>
      <w:tr>
        <w:trPr>
          <w:trHeight w:val="212"/>
        </w:trPr>
        <w:tc>
          <w:tcPr>
            <w:tcW w:w="720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11,031</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r>
      <w:tr>
        <w:trPr>
          <w:trHeight w:val="25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w:t>
            </w:r>
          </w:p>
        </w:tc>
      </w:tr>
      <w:tr>
        <w:trPr>
          <w:trHeight w:val="257"/>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14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14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termination and other</w:t>
            </w:r>
          </w:p>
        </w:tc>
        <w:tc>
          <w:tcPr>
            <w:tcW w:w="14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business divestiture</w:t>
            </w:r>
          </w:p>
        </w:tc>
        <w:tc>
          <w:tcPr>
            <w:tcW w:w="14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3"/>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57"/>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income</w:t>
            </w:r>
          </w:p>
        </w:tc>
        <w:tc>
          <w:tcPr>
            <w:tcW w:w="14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equity securities, net</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50"/>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5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14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4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1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9,319</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6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8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80" w:type="dxa"/>
            <w:vAlign w:val="bottom"/>
          </w:tcPr>
          <w:p>
            <w:pPr>
              <w:spacing w:after="0"/>
              <w:rPr>
                <w:sz w:val="21"/>
                <w:szCs w:val="21"/>
                <w:color w:val="auto"/>
              </w:rPr>
            </w:pPr>
          </w:p>
        </w:tc>
        <w:tc>
          <w:tcPr>
            <w:tcW w:w="146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3"/>
        </w:trPr>
        <w:tc>
          <w:tcPr>
            <w:tcW w:w="7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80" w:type="dxa"/>
            <w:vAlign w:val="bottom"/>
          </w:tcPr>
          <w:p>
            <w:pPr>
              <w:spacing w:after="0"/>
              <w:rPr>
                <w:sz w:val="21"/>
                <w:szCs w:val="21"/>
                <w:color w:val="auto"/>
              </w:rPr>
            </w:pP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80"/>
        </w:trPr>
        <w:tc>
          <w:tcPr>
            <w:tcW w:w="7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3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9"/>
                <w:szCs w:val="19"/>
                <w:color w:val="auto"/>
              </w:rPr>
            </w:pPr>
          </w:p>
        </w:tc>
      </w:tr>
      <w:tr>
        <w:trPr>
          <w:trHeight w:val="214"/>
        </w:trPr>
        <w:tc>
          <w:tcPr>
            <w:tcW w:w="7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w:t>
            </w:r>
          </w:p>
        </w:tc>
        <w:tc>
          <w:tcPr>
            <w:tcW w:w="520" w:type="dxa"/>
            <w:vAlign w:val="bottom"/>
          </w:tcPr>
          <w:p>
            <w:pPr>
              <w:spacing w:after="0"/>
              <w:rPr>
                <w:sz w:val="18"/>
                <w:szCs w:val="18"/>
                <w:color w:val="auto"/>
              </w:rPr>
            </w:pPr>
          </w:p>
        </w:tc>
      </w:tr>
      <w:tr>
        <w:trPr>
          <w:trHeight w:val="212"/>
        </w:trPr>
        <w:tc>
          <w:tcPr>
            <w:tcW w:w="720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4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80" w:type="dxa"/>
            <w:vAlign w:val="bottom"/>
          </w:tcPr>
          <w:p>
            <w:pPr>
              <w:spacing w:after="0"/>
              <w:rPr>
                <w:sz w:val="21"/>
                <w:szCs w:val="21"/>
                <w:color w:val="auto"/>
              </w:rPr>
            </w:pP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6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equity securities, net</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 loss</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business divestiture</w:t>
            </w:r>
          </w:p>
        </w:tc>
        <w:tc>
          <w:tcPr>
            <w:tcW w:w="14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 and discounts</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loss in investees, net of dividends received</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operating activities, net</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47"/>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66"/>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47"/>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66"/>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47"/>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66"/>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47"/>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Refund liability</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66"/>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7"/>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66"/>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4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43"/>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6,363</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4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dispositions of business</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receivable issuances to Flash Ventures</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50"/>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Notes receivable proceeds from Flash Ventures</w:t>
            </w:r>
          </w:p>
        </w:tc>
        <w:tc>
          <w:tcPr>
            <w:tcW w:w="14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5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on vested stock awards under employee stock plans</w:t>
            </w: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debt</w:t>
            </w:r>
          </w:p>
        </w:tc>
        <w:tc>
          <w:tcPr>
            <w:tcW w:w="14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44"/>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w:t>
            </w:r>
          </w:p>
        </w:tc>
        <w:tc>
          <w:tcPr>
            <w:tcW w:w="8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5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4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6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4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8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80" w:type="dxa"/>
            <w:vAlign w:val="bottom"/>
          </w:tcPr>
          <w:p>
            <w:pPr>
              <w:spacing w:after="0"/>
              <w:rPr>
                <w:sz w:val="21"/>
                <w:szCs w:val="21"/>
                <w:color w:val="auto"/>
              </w:rPr>
            </w:pPr>
          </w:p>
        </w:tc>
        <w:tc>
          <w:tcPr>
            <w:tcW w:w="146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7"/>
        </w:trPr>
        <w:tc>
          <w:tcPr>
            <w:tcW w:w="7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92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14"/>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October 2,</w:t>
            </w:r>
          </w:p>
        </w:tc>
        <w:tc>
          <w:tcPr>
            <w:tcW w:w="32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3,</w:t>
            </w:r>
          </w:p>
        </w:tc>
        <w:tc>
          <w:tcPr>
            <w:tcW w:w="240" w:type="dxa"/>
            <w:vAlign w:val="bottom"/>
          </w:tcPr>
          <w:p>
            <w:pPr>
              <w:spacing w:after="0"/>
              <w:rPr>
                <w:sz w:val="18"/>
                <w:szCs w:val="18"/>
                <w:color w:val="auto"/>
              </w:rPr>
            </w:pPr>
          </w:p>
        </w:tc>
        <w:tc>
          <w:tcPr>
            <w:tcW w:w="12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October 3,</w:t>
            </w:r>
          </w:p>
        </w:tc>
      </w:tr>
      <w:tr>
        <w:trPr>
          <w:trHeight w:val="212"/>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9,378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687</w:t>
            </w:r>
          </w:p>
        </w:tc>
      </w:tr>
      <w:tr>
        <w:trPr>
          <w:trHeight w:val="250"/>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82"/>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margin</w:t>
            </w:r>
            <w:r>
              <w:rPr>
                <w:rFonts w:ascii="Times New Roman" w:cs="Times New Roman" w:eastAsia="Times New Roman" w:hAnsi="Times New Roman"/>
                <w:sz w:val="21"/>
                <w:szCs w:val="21"/>
                <w:b w:val="1"/>
                <w:bCs w:val="1"/>
                <w:color w:val="auto"/>
                <w:vertAlign w:val="superscript"/>
              </w:rPr>
              <w:t>(1)</w:t>
            </w: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29.8 %</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29.9 %</w:t>
            </w:r>
          </w:p>
        </w:tc>
      </w:tr>
      <w:tr>
        <w:trPr>
          <w:trHeight w:val="257"/>
        </w:trPr>
        <w:tc>
          <w:tcPr>
            <w:tcW w:w="6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expenses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511</w:t>
            </w:r>
          </w:p>
        </w:tc>
      </w:tr>
      <w:tr>
        <w:trPr>
          <w:trHeight w:val="26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r>
      <w:tr>
        <w:trPr>
          <w:trHeight w:val="24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r>
      <w:tr>
        <w:trPr>
          <w:trHeight w:val="26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and other</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50"/>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business divestiture</w:t>
            </w:r>
          </w:p>
        </w:tc>
        <w:tc>
          <w:tcPr>
            <w:tcW w:w="2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r>
      <w:tr>
        <w:trPr>
          <w:trHeight w:val="281"/>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w:t>
            </w:r>
          </w:p>
        </w:tc>
      </w:tr>
      <w:tr>
        <w:trPr>
          <w:trHeight w:val="24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profit adjustments</w:t>
            </w:r>
          </w:p>
        </w:tc>
        <w:tc>
          <w:tcPr>
            <w:tcW w:w="2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26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 adjustments</w:t>
            </w: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8,871</w:t>
            </w:r>
          </w:p>
        </w:tc>
        <w:tc>
          <w:tcPr>
            <w:tcW w:w="100" w:type="dxa"/>
            <w:vAlign w:val="bottom"/>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7,104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245</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margin</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margin</w:t>
            </w:r>
            <w:r>
              <w:rPr>
                <w:rFonts w:ascii="Times New Roman" w:cs="Times New Roman" w:eastAsia="Times New Roman" w:hAnsi="Times New Roman"/>
                <w:sz w:val="21"/>
                <w:szCs w:val="21"/>
                <w:b w:val="1"/>
                <w:bCs w:val="1"/>
                <w:color w:val="auto"/>
                <w:vertAlign w:val="superscript"/>
              </w:rPr>
              <w:t>(1)</w:t>
            </w: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57"/>
        </w:trPr>
        <w:tc>
          <w:tcPr>
            <w:tcW w:w="6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interest and other income (expense),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w:t>
            </w:r>
          </w:p>
        </w:tc>
      </w:tr>
      <w:tr>
        <w:trPr>
          <w:trHeight w:val="24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equity securities, net</w:t>
            </w:r>
          </w:p>
        </w:tc>
        <w:tc>
          <w:tcPr>
            <w:tcW w:w="24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interest and other income (expense), net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income tax expense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6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adjustments</w:t>
            </w: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income tax expense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280" w:firstLine="8"/>
        <w:spacing w:after="0" w:line="252" w:lineRule="auto"/>
        <w:tabs>
          <w:tab w:leader="none" w:pos="165"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GAAP and Non-GAAP gross margins are calculated by dividing GAAP and Non-GAAP gross profit, respectively, by Revenue, net. GAAP and Non-GAAP operating margins are calculated by dividing GAAP and Non-GAAP operating income, respectively, by Revenue, net.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2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14"/>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October 2,</w:t>
            </w:r>
          </w:p>
        </w:tc>
        <w:tc>
          <w:tcPr>
            <w:tcW w:w="32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3,</w:t>
            </w:r>
          </w:p>
        </w:tc>
        <w:tc>
          <w:tcPr>
            <w:tcW w:w="240" w:type="dxa"/>
            <w:vAlign w:val="bottom"/>
          </w:tcPr>
          <w:p>
            <w:pPr>
              <w:spacing w:after="0"/>
              <w:rPr>
                <w:sz w:val="18"/>
                <w:szCs w:val="18"/>
                <w:color w:val="auto"/>
              </w:rPr>
            </w:pPr>
          </w:p>
        </w:tc>
        <w:tc>
          <w:tcPr>
            <w:tcW w:w="12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October 3,</w:t>
            </w:r>
          </w:p>
        </w:tc>
      </w:tr>
      <w:tr>
        <w:trPr>
          <w:trHeight w:val="212"/>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6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r>
      <w:tr>
        <w:trPr>
          <w:trHeight w:val="247"/>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r>
      <w:tr>
        <w:trPr>
          <w:trHeight w:val="26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separation costs</w:t>
            </w:r>
          </w:p>
        </w:tc>
        <w:tc>
          <w:tcPr>
            <w:tcW w:w="2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r>
      <w:tr>
        <w:trPr>
          <w:trHeight w:val="247"/>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termination and other</w:t>
            </w:r>
          </w:p>
        </w:tc>
        <w:tc>
          <w:tcPr>
            <w:tcW w:w="24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26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business divestiture</w:t>
            </w:r>
          </w:p>
        </w:tc>
        <w:tc>
          <w:tcPr>
            <w:tcW w:w="2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47"/>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equity securities, net</w:t>
            </w:r>
          </w:p>
        </w:tc>
        <w:tc>
          <w:tcPr>
            <w:tcW w:w="24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50"/>
        </w:trPr>
        <w:tc>
          <w:tcPr>
            <w:tcW w:w="6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adjustments</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r>
      <w:tr>
        <w:trPr>
          <w:trHeight w:val="28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7,624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6,162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per share</w:t>
            </w: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7"/>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GAAP</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52.60</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43.97</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r>
      <w:tr>
        <w:trPr>
          <w:trHeight w:val="26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49.51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r>
      <w:tr>
        <w:trPr>
          <w:trHeight w:val="270"/>
        </w:trPr>
        <w:tc>
          <w:tcPr>
            <w:tcW w:w="6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weighted average shares outstanding</w:t>
            </w: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w:t>
            </w:r>
          </w:p>
        </w:tc>
      </w:tr>
      <w:tr>
        <w:trPr>
          <w:trHeight w:val="270"/>
        </w:trPr>
        <w:tc>
          <w:tcPr>
            <w:tcW w:w="6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7"/>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6,363</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7,126</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488</w:t>
            </w:r>
          </w:p>
        </w:tc>
      </w:tr>
      <w:tr>
        <w:trPr>
          <w:trHeight w:val="26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 net</w:t>
            </w: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w:t>
            </w:r>
          </w:p>
        </w:tc>
      </w:tr>
      <w:tr>
        <w:trPr>
          <w:trHeight w:val="240"/>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4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438</w:t>
            </w:r>
          </w:p>
        </w:tc>
      </w:tr>
      <w:tr>
        <w:trPr>
          <w:trHeight w:val="26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Activity related to Flash Ventures, net</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50"/>
        </w:trPr>
        <w:tc>
          <w:tcPr>
            <w:tcW w:w="6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Impact of NBM prepayments and deposits</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81"/>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free cash flow</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5,696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5,035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57.7 %</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r>
      <w:tr>
        <w:trPr>
          <w:trHeight w:val="308"/>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 margin</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19.4 %</w:t>
            </w:r>
          </w:p>
        </w:tc>
      </w:tr>
    </w:tbl>
    <w:p>
      <w:pPr>
        <w:spacing w:after="0" w:line="124" w:lineRule="exact"/>
        <w:rPr>
          <w:sz w:val="20"/>
          <w:szCs w:val="20"/>
          <w:color w:val="auto"/>
        </w:rPr>
      </w:pPr>
    </w:p>
    <w:p>
      <w:pPr>
        <w:ind w:right="100" w:firstLine="8"/>
        <w:spacing w:after="0"/>
        <w:tabs>
          <w:tab w:leader="none" w:pos="165"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Operating cash flow margin and Adjusted free cash flow margin are calculated by dividing Cash flow from operating activities and Adjusted free cash flow, respectively, by Revenue, net.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27" w:right="339" w:bottom="1440" w:gutter="0" w:footer="0" w:header="0"/>
        </w:sectPr>
      </w:pPr>
    </w:p>
    <w:bookmarkStart w:id="13" w:name="page14"/>
    <w:bookmarkEnd w:id="13"/>
    <w:p>
      <w:pPr>
        <w:spacing w:after="0" w:line="365" w:lineRule="auto"/>
        <w:rPr>
          <w:sz w:val="20"/>
          <w:szCs w:val="20"/>
          <w:color w:val="auto"/>
        </w:rPr>
      </w:pPr>
      <w:r>
        <w:rPr>
          <w:rFonts w:ascii="Times New Roman" w:cs="Times New Roman" w:eastAsia="Times New Roman" w:hAnsi="Times New Roman"/>
          <w:sz w:val="18"/>
          <w:szCs w:val="18"/>
          <w:color w:val="auto"/>
        </w:rPr>
        <w:t>To supplement the consolidated financial statements presented in accordance with GAAP, the table above sets forth Non-GAAP gross profit; Non-GAAP gross margin; Non-GAAP operating expenses; Non-GAAP operating income; Non-GAAP operating margin; Non-GAAP interest and other income (expense), net; Non-GAAP income tax expense; Non-GAAP net income; Non-GAAP diluted net income per share; Non-GAAP diluted weighted average shares outstanding; Free cash flow; Adjusted free cash flow; Operating cash flow margin; and Adjusted free cash flow margin (collectively, the “Non-GAAP measures”). These Non-GAAP measures are not in accordance with, or alternatives for measures prepared in accordance with GAAP and may be different from similarly titled Non-GAAP measures used by other companies. The Company believes the presentation of these Non-GAAP measures, when shown in conjunction with the corresponding GAAP measures, provides useful information to investors for measuring the Company’s earnings performance and comparing it against prior periods. Specifically, the Company believes these Non-GAAP measures provide useful information to both management and investors as they exclude certain expenses, gains, and losses that the Company believes are not indicative of its core operating results or because they are consistent with the financial models and estimates published by many analysts who follow the Company and its peers. As discussed further below, these Non-GAAP measures exclude, as applicable, stock-based compensation expense, business separation costs, employee termination and other, loss on business divestiture, gain on equity securities, net, other adjustments, and income tax adjustments. The Company believes these measures, along with the related reconciliations to the most directly comparable GAAP measures, provide additional detail and comparability for assessing the Company’s results. These Non-GAAP measures are some of the primary indicators management uses for assessing the Company’s performance and planning and forecasting future periods. These measures should be considered in addition to results prepared in accordance with GAAP, but should not be considered a substitute for, or superior to, GAAP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the Company excludes the following items from its Non-GAAP measures:</w:t>
      </w:r>
    </w:p>
    <w:p>
      <w:pPr>
        <w:spacing w:after="0" w:line="320" w:lineRule="exact"/>
        <w:rPr>
          <w:sz w:val="20"/>
          <w:szCs w:val="20"/>
          <w:color w:val="auto"/>
        </w:rPr>
      </w:pPr>
    </w:p>
    <w:p>
      <w:pPr>
        <w:ind w:right="40"/>
        <w:spacing w:after="0" w:line="371" w:lineRule="auto"/>
        <w:rPr>
          <w:sz w:val="20"/>
          <w:szCs w:val="20"/>
          <w:color w:val="auto"/>
        </w:rPr>
      </w:pPr>
      <w:r>
        <w:rPr>
          <w:rFonts w:ascii="Times New Roman" w:cs="Times New Roman" w:eastAsia="Times New Roman" w:hAnsi="Times New Roman"/>
          <w:sz w:val="18"/>
          <w:szCs w:val="18"/>
          <w:u w:val="single" w:color="auto"/>
          <w:color w:val="auto"/>
        </w:rPr>
        <w:t>Stock-based compensation expense</w:t>
      </w:r>
      <w:r>
        <w:rPr>
          <w:rFonts w:ascii="Times New Roman" w:cs="Times New Roman" w:eastAsia="Times New Roman" w:hAnsi="Times New Roman"/>
          <w:sz w:val="18"/>
          <w:szCs w:val="18"/>
          <w:color w:val="auto"/>
        </w:rPr>
        <w:t>. 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enhances the ability of management and investors to understand and assess the underlying performance of the business over time and compare it against the Company’s peers, a majority of whom also exclude stock-based compensation expense from their Non-GAAP results.</w:t>
      </w:r>
    </w:p>
    <w:p>
      <w:pPr>
        <w:spacing w:after="0" w:line="182" w:lineRule="exact"/>
        <w:rPr>
          <w:sz w:val="20"/>
          <w:szCs w:val="20"/>
          <w:color w:val="auto"/>
        </w:rPr>
      </w:pPr>
    </w:p>
    <w:p>
      <w:pPr>
        <w:ind w:right="100"/>
        <w:spacing w:after="0" w:line="369" w:lineRule="auto"/>
        <w:rPr>
          <w:sz w:val="20"/>
          <w:szCs w:val="20"/>
          <w:color w:val="auto"/>
        </w:rPr>
      </w:pPr>
      <w:r>
        <w:rPr>
          <w:rFonts w:ascii="Times New Roman" w:cs="Times New Roman" w:eastAsia="Times New Roman" w:hAnsi="Times New Roman"/>
          <w:sz w:val="18"/>
          <w:szCs w:val="18"/>
          <w:u w:val="single" w:color="auto"/>
          <w:color w:val="auto"/>
        </w:rPr>
        <w:t>Business separation costs</w:t>
      </w:r>
      <w:r>
        <w:rPr>
          <w:rFonts w:ascii="Times New Roman" w:cs="Times New Roman" w:eastAsia="Times New Roman" w:hAnsi="Times New Roman"/>
          <w:sz w:val="18"/>
          <w:szCs w:val="18"/>
          <w:color w:val="auto"/>
        </w:rPr>
        <w:t>. On October 30, 2023, Western Digital Corporation (“WDC”) announced that its board of directors (the “WDC Board of Directors”) authorized management to pursue a plan to separate the Company into an independent public company. The separation received final approval by the WDC Board of Directors and was completed on February 21, 2025. Prior to February 21, 2025, the Company was wholly owned by WDC. As a result of the plan, the Company incurred separation and transition costs through the completion of the separation of the companies. The separation and transition costs are recorded within Business separation costs in the Consolidated Statements of Operations. The Company believes these charges do not reflect the Company’s operating results and that they are not indicative of the underlying results of its business.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985" w:right="359" w:bottom="1440" w:gutter="0" w:footer="0" w:header="0"/>
        </w:sectPr>
      </w:pPr>
    </w:p>
    <w:bookmarkStart w:id="14" w:name="page15"/>
    <w:bookmarkEnd w:id="14"/>
    <w:p>
      <w:pPr>
        <w:ind w:right="40"/>
        <w:spacing w:after="0" w:line="371" w:lineRule="auto"/>
        <w:rPr>
          <w:sz w:val="20"/>
          <w:szCs w:val="20"/>
          <w:color w:val="auto"/>
        </w:rPr>
      </w:pPr>
      <w:r>
        <w:rPr>
          <w:rFonts w:ascii="Times New Roman" w:cs="Times New Roman" w:eastAsia="Times New Roman" w:hAnsi="Times New Roman"/>
          <w:sz w:val="18"/>
          <w:szCs w:val="18"/>
          <w:u w:val="single" w:color="auto"/>
          <w:color w:val="auto"/>
        </w:rPr>
        <w:t>Employee termination and other</w:t>
      </w:r>
      <w:r>
        <w:rPr>
          <w:rFonts w:ascii="Times New Roman" w:cs="Times New Roman" w:eastAsia="Times New Roman" w:hAnsi="Times New Roman"/>
          <w:sz w:val="18"/>
          <w:szCs w:val="18"/>
          <w:color w:val="auto"/>
        </w:rPr>
        <w:t>. From time to time, in order to realign the Company’s operations with anticipated market demand, the Company may terminate employees and/or restructure its operations. From time to time, the Company may also incur charges from the impairment of long-lived assets. In addition, the Company may record credits related to gains upon sale of property due to restructuring or reversals of charges recorded in prior periods as well as from taking actions to reduce the amount of capital invested in facilities, including the sale-leaseback of facilities. These charges or credits are inconsistent in amount and frequency, and the Company believes they are not indicative of the underlying performance of its business.</w:t>
      </w:r>
    </w:p>
    <w:p>
      <w:pPr>
        <w:spacing w:after="0" w:line="182" w:lineRule="exact"/>
        <w:rPr>
          <w:sz w:val="20"/>
          <w:szCs w:val="20"/>
          <w:color w:val="auto"/>
        </w:rPr>
      </w:pPr>
    </w:p>
    <w:p>
      <w:pPr>
        <w:spacing w:after="0" w:line="371" w:lineRule="auto"/>
        <w:rPr>
          <w:sz w:val="20"/>
          <w:szCs w:val="20"/>
          <w:color w:val="auto"/>
        </w:rPr>
      </w:pPr>
      <w:r>
        <w:rPr>
          <w:rFonts w:ascii="Times New Roman" w:cs="Times New Roman" w:eastAsia="Times New Roman" w:hAnsi="Times New Roman"/>
          <w:sz w:val="18"/>
          <w:szCs w:val="18"/>
          <w:u w:val="single" w:color="auto"/>
          <w:color w:val="auto"/>
        </w:rPr>
        <w:t>Loss on business divestiture</w:t>
      </w:r>
      <w:r>
        <w:rPr>
          <w:rFonts w:ascii="Times New Roman" w:cs="Times New Roman" w:eastAsia="Times New Roman" w:hAnsi="Times New Roman"/>
          <w:sz w:val="18"/>
          <w:szCs w:val="18"/>
          <w:color w:val="auto"/>
        </w:rPr>
        <w:t>. In connection with the Company’s strategic decision to outsource the manufacturing of certain components and assemblies, on September 28, 2024, the Company completed the sale of 80% of its equity interest in one of its manufacturing subsidiaries. On September 25, 2025, the Company entered into an Amendment No. 1 to the Amended and Restated Equity Purchase Agreement that included a $10 million provision for working capital support. The Company recognized the adjustment as a Loss on business divestiture during the first fiscal quarter of 2026. The overall transaction resulted in a discrete gain, which the Company believes is not indicative of the underlying performance of its ongoing business operations.</w:t>
      </w:r>
    </w:p>
    <w:p>
      <w:pPr>
        <w:spacing w:after="0" w:line="182" w:lineRule="exact"/>
        <w:rPr>
          <w:sz w:val="20"/>
          <w:szCs w:val="20"/>
          <w:color w:val="auto"/>
        </w:rPr>
      </w:pPr>
    </w:p>
    <w:p>
      <w:pPr>
        <w:ind w:right="120"/>
        <w:spacing w:after="0" w:line="375" w:lineRule="auto"/>
        <w:rPr>
          <w:sz w:val="20"/>
          <w:szCs w:val="20"/>
          <w:color w:val="auto"/>
        </w:rPr>
      </w:pPr>
      <w:r>
        <w:rPr>
          <w:rFonts w:ascii="Times New Roman" w:cs="Times New Roman" w:eastAsia="Times New Roman" w:hAnsi="Times New Roman"/>
          <w:sz w:val="18"/>
          <w:szCs w:val="18"/>
          <w:u w:val="single" w:color="auto"/>
          <w:color w:val="auto"/>
        </w:rPr>
        <w:t>Gain on equity securities, net</w:t>
      </w:r>
      <w:r>
        <w:rPr>
          <w:rFonts w:ascii="Times New Roman" w:cs="Times New Roman" w:eastAsia="Times New Roman" w:hAnsi="Times New Roman"/>
          <w:sz w:val="18"/>
          <w:szCs w:val="18"/>
          <w:color w:val="auto"/>
        </w:rPr>
        <w:t>. Gain on equity securities, net consists of ongoing mark-to-market adjustments on the Company’s investments in marketable equity securities, the gains from the sale of equity investments and related impairment charges. These charges do not reflect the Company’s operating results, and the Company believes these charges are not indicative of the underlying performance of its business.</w:t>
      </w:r>
    </w:p>
    <w:p>
      <w:pPr>
        <w:spacing w:after="0" w:line="177" w:lineRule="exact"/>
        <w:rPr>
          <w:sz w:val="20"/>
          <w:szCs w:val="20"/>
          <w:color w:val="auto"/>
        </w:rPr>
      </w:pPr>
    </w:p>
    <w:p>
      <w:pPr>
        <w:ind w:right="600"/>
        <w:spacing w:after="0" w:line="407" w:lineRule="auto"/>
        <w:rPr>
          <w:sz w:val="20"/>
          <w:szCs w:val="20"/>
          <w:color w:val="auto"/>
        </w:rPr>
      </w:pPr>
      <w:r>
        <w:rPr>
          <w:rFonts w:ascii="Times New Roman" w:cs="Times New Roman" w:eastAsia="Times New Roman" w:hAnsi="Times New Roman"/>
          <w:sz w:val="18"/>
          <w:szCs w:val="18"/>
          <w:u w:val="single" w:color="auto"/>
          <w:color w:val="auto"/>
        </w:rPr>
        <w:t>Other adjustments</w:t>
      </w:r>
      <w:r>
        <w:rPr>
          <w:rFonts w:ascii="Times New Roman" w:cs="Times New Roman" w:eastAsia="Times New Roman" w:hAnsi="Times New Roman"/>
          <w:sz w:val="18"/>
          <w:szCs w:val="18"/>
          <w:color w:val="auto"/>
        </w:rPr>
        <w:t>. From time to time, the Company incurs charges or gains that the Company believes are not a part of the ongoing operation of its business. The resulting expense or benefit is inconsistent in amount and frequency.</w:t>
      </w:r>
    </w:p>
    <w:p>
      <w:pPr>
        <w:spacing w:after="0" w:line="148" w:lineRule="exact"/>
        <w:rPr>
          <w:sz w:val="20"/>
          <w:szCs w:val="20"/>
          <w:color w:val="auto"/>
        </w:rPr>
      </w:pPr>
    </w:p>
    <w:p>
      <w:pPr>
        <w:ind w:right="460"/>
        <w:spacing w:after="0" w:line="370" w:lineRule="auto"/>
        <w:rPr>
          <w:sz w:val="20"/>
          <w:szCs w:val="20"/>
          <w:color w:val="auto"/>
        </w:rPr>
      </w:pPr>
      <w:r>
        <w:rPr>
          <w:rFonts w:ascii="Times New Roman" w:cs="Times New Roman" w:eastAsia="Times New Roman" w:hAnsi="Times New Roman"/>
          <w:sz w:val="18"/>
          <w:szCs w:val="18"/>
          <w:u w:val="single" w:color="auto"/>
          <w:color w:val="auto"/>
        </w:rPr>
        <w:t>Income tax adjustments</w:t>
      </w:r>
      <w:r>
        <w:rPr>
          <w:rFonts w:ascii="Times New Roman" w:cs="Times New Roman" w:eastAsia="Times New Roman" w:hAnsi="Times New Roman"/>
          <w:sz w:val="18"/>
          <w:szCs w:val="18"/>
          <w:color w:val="auto"/>
        </w:rPr>
        <w:t>. Income tax adjustments include the difference between income taxes based on a forecasted annual Non-GAAP tax rate and a forecasted annual GAAP tax rate as a result of the timing of certain Non-GAAP pre-tax adjustments. The income tax adjustments also include the re-measurement of certain unrecognized tax benefits primarily related to tax positions taken in prior quarters, including interest. These adjustments are excluded because the Company believes that they are not indicative of the underlying performance of its ongoing business.</w:t>
      </w:r>
    </w:p>
    <w:p>
      <w:pPr>
        <w:spacing w:after="0" w:line="195" w:lineRule="exact"/>
        <w:rPr>
          <w:sz w:val="20"/>
          <w:szCs w:val="20"/>
          <w:color w:val="auto"/>
        </w:rPr>
      </w:pPr>
    </w:p>
    <w:p>
      <w:pPr>
        <w:ind w:right="20"/>
        <w:spacing w:after="0" w:line="367" w:lineRule="auto"/>
        <w:rPr>
          <w:sz w:val="20"/>
          <w:szCs w:val="20"/>
          <w:color w:val="auto"/>
        </w:rPr>
      </w:pPr>
      <w:r>
        <w:rPr>
          <w:rFonts w:ascii="Times New Roman" w:cs="Times New Roman" w:eastAsia="Times New Roman" w:hAnsi="Times New Roman"/>
          <w:sz w:val="18"/>
          <w:szCs w:val="18"/>
          <w:color w:val="auto"/>
        </w:rPr>
        <w:t>Additionally, Free cash flow is defined as Cash Flow from operating activities less purchases of property, plant and equipment, net. Adjusted free cash flow is defined as Free cash flow plus the activity related to Flash Ventures, net less the impact of cash prepayments under New Business Model (“NBM”) agreements (the “NBM Prepayments”) and deposits received and returned under NBM agreements (the “NBM Deposits” and together with the NBM Prepayments, the “NBM Payments”). The Company is adjusting cash flow for the NBM Payments because the Company believes that these cash flows are not indicative of the core underlying cash flows of the Company’s business. The Company considers Free cash flow and Adjusted free cash flow generated in any period to be useful indicators of cash that is available for strategic opportunities, including, among others, investing in the Company’s business, making strategic acquisitions and strengthening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ectPr>
          <w:pgSz w:w="11900" w:h="16838" w:orient="portrait"/>
          <w:cols w:equalWidth="0" w:num="1">
            <w:col w:w="10119"/>
          </w:cols>
          <w:pgMar w:left="340" w:top="995" w:right="1440" w:bottom="1440" w:gutter="0" w:footer="0" w:header="0"/>
        </w:sect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Media Contact:</w:t>
      </w:r>
    </w:p>
    <w:p>
      <w:pPr>
        <w:spacing w:after="0" w:line="88" w:lineRule="exact"/>
        <w:rPr>
          <w:sz w:val="20"/>
          <w:szCs w:val="20"/>
          <w:color w:val="auto"/>
        </w:rPr>
      </w:pPr>
    </w:p>
    <w:p>
      <w:pPr>
        <w:sectPr>
          <w:pgSz w:w="11900" w:h="16838" w:orient="portrait"/>
          <w:cols w:equalWidth="0" w:num="2">
            <w:col w:w="4940" w:space="720"/>
            <w:col w:w="4459"/>
          </w:cols>
          <w:pgMar w:left="340" w:top="995"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Ivan Donaldson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Media Relations</w:t>
      </w:r>
    </w:p>
    <w:p>
      <w:pPr>
        <w:spacing w:after="0" w:line="88" w:lineRule="exact"/>
        <w:rPr>
          <w:sz w:val="20"/>
          <w:szCs w:val="20"/>
          <w:color w:val="auto"/>
        </w:rPr>
      </w:pPr>
    </w:p>
    <w:p>
      <w:pPr>
        <w:sectPr>
          <w:pgSz w:w="11900" w:h="16838" w:orient="portrait"/>
          <w:cols w:equalWidth="0" w:num="2">
            <w:col w:w="4940" w:space="720"/>
            <w:col w:w="4459"/>
          </w:cols>
          <w:pgMar w:left="340" w:top="995"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 ivan.donaldson@sandisk.com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mediainquiries@sandisk.com</w:t>
      </w:r>
    </w:p>
    <w:p>
      <w:pPr>
        <w:spacing w:after="0" w:line="77" w:lineRule="exact"/>
        <w:rPr>
          <w:sz w:val="20"/>
          <w:szCs w:val="20"/>
          <w:color w:val="auto"/>
        </w:rPr>
      </w:pPr>
    </w:p>
    <w:p>
      <w:pPr>
        <w:sectPr>
          <w:pgSz w:w="11900" w:h="16838" w:orient="portrait"/>
          <w:cols w:equalWidth="0" w:num="2">
            <w:col w:w="4940" w:space="720"/>
            <w:col w:w="4459"/>
          </w:cols>
          <w:pgMar w:left="340" w:top="995"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investors@sandisk.com</w:t>
      </w:r>
    </w:p>
    <w:p>
      <w:pPr>
        <w:sectPr>
          <w:pgSz w:w="11900" w:h="16838" w:orient="portrait"/>
          <w:cols w:equalWidth="0" w:num="1">
            <w:col w:w="10119"/>
          </w:cols>
          <w:pgMar w:left="340" w:top="9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0119"/>
      </w:cols>
      <w:pgMar w:left="340" w:top="99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2026-10-29T15:36:48Z</dcterms:created>
  <dcterms:modified xsi:type="dcterms:W3CDTF">2026-10-29T15:36:48Z</dcterms:modified>
</cp:coreProperties>
</file>