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Goeckeler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SANDISK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 SANDISK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MILPITAS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Sandisk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SNDK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51"/>
        <w:gridCol w:w="912"/>
        <w:gridCol w:w="782"/>
        <w:gridCol w:w="605"/>
        <w:gridCol w:w="343"/>
        <w:gridCol w:w="964"/>
        <w:gridCol w:w="435"/>
        <w:gridCol w:w="981"/>
        <w:gridCol w:w="1134"/>
        <w:gridCol w:w="978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8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09/03/2026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10,540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1,554.99</w:t>
            </w:r>
          </w:p>
        </w:tc>
        <w:tc>
          <w:tcPr>
            <w:tcW w:w="11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447,248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tax obligation by withholding securities incident to the vesting of securities in accordance with Rule 16b-3(e).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Sharon Spehar Attorney-in-Fact For: David Goeckeler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3941" TargetMode="External"/><Relationship Id="rId5" Type="http://schemas.openxmlformats.org/officeDocument/2006/relationships/hyperlink" Target="http://www.sec.gov/cgi-bin/browse-edgar?action=getcompany&amp;CIK=00020235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3208</Characters>
  <CharactersWithSpaces>3726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