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10-Q/A</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27305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(Mark One)</w:t>
      </w:r>
    </w:p>
    <w:p>
      <w:pPr>
        <w:spacing w:after="0" w:line="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27, 2024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9" w:lineRule="exact"/>
        <w:rPr>
          <w:sz w:val="24"/>
          <w:szCs w:val="24"/>
          <w:color w:val="auto"/>
        </w:rPr>
      </w:pPr>
    </w:p>
    <w:p>
      <w:pPr>
        <w:ind w:left="368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3691890</wp:posOffset>
            </wp:positionH>
            <wp:positionV relativeFrom="paragraph">
              <wp:posOffset>-3175</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001-42420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73025</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Sandisk Corporation</w:t>
      </w:r>
    </w:p>
    <w:p>
      <w:pPr>
        <w:sectPr>
          <w:pgSz w:w="11900" w:h="16838" w:orient="portrait"/>
          <w:cols w:equalWidth="0" w:num="1">
            <w:col w:w="11240"/>
          </w:cols>
          <w:pgMar w:left="320" w:top="1024" w:right="339" w:bottom="1440" w:gutter="0" w:footer="0" w:header="0"/>
        </w:sectPr>
      </w:pPr>
    </w:p>
    <w:p>
      <w:pPr>
        <w:spacing w:after="0" w:line="200" w:lineRule="exact"/>
        <w:rPr>
          <w:sz w:val="24"/>
          <w:szCs w:val="24"/>
          <w:color w:val="auto"/>
        </w:rPr>
      </w:pPr>
    </w:p>
    <w:p>
      <w:pPr>
        <w:spacing w:after="0" w:line="232" w:lineRule="exact"/>
        <w:rPr>
          <w:sz w:val="24"/>
          <w:szCs w:val="24"/>
          <w:color w:val="auto"/>
        </w:rPr>
      </w:pPr>
    </w:p>
    <w:p>
      <w:pPr>
        <w:jc w:val="center"/>
        <w:ind w:left="14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2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-539115</wp:posOffset>
            </wp:positionH>
            <wp:positionV relativeFrom="paragraph">
              <wp:posOffset>53340</wp:posOffset>
            </wp:positionV>
            <wp:extent cx="2768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7" w:lineRule="exact"/>
        <w:rPr>
          <w:sz w:val="24"/>
          <w:szCs w:val="24"/>
          <w:color w:val="auto"/>
        </w:rPr>
      </w:pPr>
    </w:p>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99-1508671</w:t>
      </w:r>
    </w:p>
    <w:p>
      <w:pPr>
        <w:spacing w:after="0" w:line="163" w:lineRule="exact"/>
        <w:rPr>
          <w:sz w:val="24"/>
          <w:szCs w:val="24"/>
          <w:color w:val="auto"/>
        </w:rPr>
      </w:pPr>
    </w:p>
    <w:p>
      <w:pPr>
        <w:jc w:val="right"/>
        <w:ind w:right="160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80" w:space="720"/>
            <w:col w:w="6940"/>
          </w:cols>
          <w:pgMar w:left="320" w:top="1024"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7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951 Sandisk Drive</w:t>
            </w: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Milpitas</w:t>
            </w:r>
          </w:p>
        </w:tc>
        <w:tc>
          <w:tcPr>
            <w:tcW w:w="3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3080" w:type="dxa"/>
            <w:vAlign w:val="bottom"/>
            <w:gridSpan w:val="2"/>
          </w:tcPr>
          <w:p>
            <w:pPr>
              <w:jc w:val="right"/>
              <w:ind w:right="1605"/>
              <w:spacing w:after="0"/>
              <w:rPr>
                <w:sz w:val="20"/>
                <w:szCs w:val="20"/>
                <w:color w:val="auto"/>
              </w:rPr>
            </w:pPr>
            <w:r>
              <w:rPr>
                <w:rFonts w:ascii="Times New Roman" w:cs="Times New Roman" w:eastAsia="Times New Roman" w:hAnsi="Times New Roman"/>
                <w:sz w:val="14"/>
                <w:szCs w:val="14"/>
                <w:b w:val="1"/>
                <w:bCs w:val="1"/>
                <w:color w:val="auto"/>
              </w:rPr>
              <w:t>95035</w:t>
            </w:r>
          </w:p>
        </w:tc>
      </w:tr>
      <w:tr>
        <w:trPr>
          <w:trHeight w:val="183"/>
        </w:trPr>
        <w:tc>
          <w:tcPr>
            <w:tcW w:w="3580" w:type="dxa"/>
            <w:vAlign w:val="bottom"/>
            <w:gridSpan w:val="3"/>
          </w:tcPr>
          <w:p>
            <w:pPr>
              <w:ind w:left="1500"/>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jc w:val="center"/>
              <w:ind w:right="645"/>
              <w:spacing w:after="0"/>
              <w:rPr>
                <w:sz w:val="20"/>
                <w:szCs w:val="20"/>
                <w:color w:val="auto"/>
              </w:rPr>
            </w:pPr>
            <w:r>
              <w:rPr>
                <w:rFonts w:ascii="Times New Roman" w:cs="Times New Roman" w:eastAsia="Times New Roman" w:hAnsi="Times New Roman"/>
                <w:sz w:val="13"/>
                <w:szCs w:val="13"/>
                <w:i w:val="1"/>
                <w:iCs w:val="1"/>
                <w:color w:val="auto"/>
                <w:w w:val="98"/>
              </w:rPr>
              <w:t>(Zip Code)</w:t>
            </w:r>
          </w:p>
        </w:tc>
      </w:tr>
      <w:tr>
        <w:trPr>
          <w:trHeight w:val="402"/>
        </w:trPr>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rPr>
              <w:t>(408) 801-1000</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10"/>
        </w:trPr>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4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97"/>
        </w:trPr>
        <w:tc>
          <w:tcPr>
            <w:tcW w:w="75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95"/>
        </w:trPr>
        <w:tc>
          <w:tcPr>
            <w:tcW w:w="15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60" w:type="dxa"/>
            <w:vAlign w:val="bottom"/>
          </w:tcPr>
          <w:p>
            <w:pPr>
              <w:spacing w:after="0"/>
              <w:rPr>
                <w:sz w:val="16"/>
                <w:szCs w:val="16"/>
                <w:color w:val="auto"/>
              </w:rPr>
            </w:pPr>
          </w:p>
        </w:tc>
        <w:tc>
          <w:tcPr>
            <w:tcW w:w="3080" w:type="dxa"/>
            <w:vAlign w:val="bottom"/>
            <w:gridSpan w:val="2"/>
          </w:tcPr>
          <w:p>
            <w:pPr>
              <w:jc w:val="center"/>
              <w:ind w:left="4"/>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5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380" w:type="dxa"/>
            <w:vAlign w:val="bottom"/>
          </w:tcPr>
          <w:p>
            <w:pPr>
              <w:spacing w:after="0"/>
              <w:rPr>
                <w:sz w:val="20"/>
                <w:szCs w:val="20"/>
                <w:color w:val="auto"/>
              </w:rPr>
            </w:pPr>
          </w:p>
        </w:tc>
        <w:tc>
          <w:tcPr>
            <w:tcW w:w="2560" w:type="dxa"/>
            <w:vAlign w:val="bottom"/>
            <w:gridSpan w:val="2"/>
          </w:tcPr>
          <w:p>
            <w:pPr>
              <w:jc w:val="center"/>
              <w:ind w:right="1260"/>
              <w:spacing w:after="0"/>
              <w:rPr>
                <w:sz w:val="20"/>
                <w:szCs w:val="20"/>
                <w:color w:val="auto"/>
              </w:rPr>
            </w:pPr>
            <w:r>
              <w:rPr>
                <w:rFonts w:ascii="Times New Roman" w:cs="Times New Roman" w:eastAsia="Times New Roman" w:hAnsi="Times New Roman"/>
                <w:sz w:val="16"/>
                <w:szCs w:val="16"/>
                <w:color w:val="auto"/>
              </w:rPr>
              <w:t>SNDK</w:t>
            </w:r>
          </w:p>
        </w:tc>
        <w:tc>
          <w:tcPr>
            <w:tcW w:w="8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184150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both"/>
        <w:ind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60"/>
        <w:spacing w:after="0"/>
        <w:tabs>
          <w:tab w:leader="none" w:pos="2840" w:val="left"/>
          <w:tab w:leader="none" w:pos="4960" w:val="left"/>
          <w:tab w:leader="none" w:pos="7020" w:val="left"/>
          <w:tab w:leader="none" w:pos="92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27" w:lineRule="exact"/>
        <w:rPr>
          <w:sz w:val="24"/>
          <w:szCs w:val="24"/>
          <w:color w:val="auto"/>
        </w:rPr>
      </w:pPr>
    </w:p>
    <w:p>
      <w:pPr>
        <w:ind w:left="1040"/>
        <w:spacing w:after="0" w:line="161" w:lineRule="exact"/>
        <w:tabs>
          <w:tab w:leader="none" w:pos="3260" w:val="left"/>
          <w:tab w:leader="none" w:pos="5500" w:val="left"/>
          <w:tab w:leader="none" w:pos="7740" w:val="left"/>
          <w:tab w:leader="none" w:pos="100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268" w:lineRule="exact"/>
        <w:rPr>
          <w:sz w:val="24"/>
          <w:szCs w:val="24"/>
          <w:color w:val="auto"/>
        </w:rPr>
      </w:pPr>
    </w:p>
    <w:p>
      <w:pPr>
        <w:jc w:val="both"/>
        <w:ind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340" w:right="23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the close of business on February 27, 2025, 144,863,251 shares of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purpose of this Amendment No. 1 on Form 10-Q/A to the Registrant’s Quarterly Report on Form 10-Q for the quarter ended December 27, 2024, filed with the Securities and Exchange Commission on March 7, 2025 (the “Form 10-Q”), is to (1) correct an error in the number of shares outstanding on the cover page of the Form 10-Q as of the last practicable date from 114,863,251 to 144,863,251, and (2) correct a typographical error in the certification contained in Exhibit 31.2 to the Form 10-Q.</w:t>
      </w:r>
    </w:p>
    <w:p>
      <w:pPr>
        <w:spacing w:after="0" w:line="72"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No other changes have been made to the Form 10-Q, which is hereby refiled in its entirety. This Form 10-Q/A does not reflect events that may have occurred subsequent to the original filing date, and except as noted above, does not modify or update in any way disclosures made in the original Form 10-Q.</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760" w:type="dxa"/>
            <w:vAlign w:val="bottom"/>
            <w:vMerge w:val="restart"/>
          </w:tcPr>
          <w:p>
            <w:pPr>
              <w:ind w:left="30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Condensed Combined 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760" w:type="dxa"/>
            <w:vAlign w:val="bottom"/>
          </w:tcPr>
          <w:p>
            <w:pPr>
              <w:ind w:left="680"/>
              <w:spacing w:after="0" w:line="189" w:lineRule="exact"/>
              <w:rPr>
                <w:sz w:val="20"/>
                <w:szCs w:val="20"/>
                <w:color w:val="auto"/>
              </w:rPr>
            </w:pPr>
            <w:r>
              <w:rPr>
                <w:rFonts w:ascii="Times New Roman" w:cs="Times New Roman" w:eastAsia="Times New Roman" w:hAnsi="Times New Roman"/>
                <w:sz w:val="18"/>
                <w:szCs w:val="18"/>
                <w:color w:val="auto"/>
              </w:rPr>
              <w:t>Condensed Combined Balance Sheets — As of December 27, 2024 and June 28, 2024</w:t>
            </w:r>
          </w:p>
        </w:tc>
        <w:tc>
          <w:tcPr>
            <w:tcW w:w="820" w:type="dxa"/>
            <w:vAlign w:val="bottom"/>
            <w:gridSpan w:val="2"/>
          </w:tcPr>
          <w:p>
            <w:pPr>
              <w:jc w:val="center"/>
              <w:ind w:left="530"/>
              <w:spacing w:after="0" w:line="189" w:lineRule="exact"/>
              <w:rPr>
                <w:sz w:val="20"/>
                <w:szCs w:val="20"/>
                <w:color w:val="auto"/>
              </w:rPr>
            </w:pPr>
            <w:r>
              <w:rPr>
                <w:rFonts w:ascii="Times New Roman" w:cs="Times New Roman" w:eastAsia="Times New Roman" w:hAnsi="Times New Roman"/>
                <w:sz w:val="18"/>
                <w:szCs w:val="18"/>
                <w:color w:val="3635D6"/>
                <w:w w:val="88"/>
              </w:rPr>
              <w:t>5</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876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Condensed Combined Statements of Operations — Three and Six Months Ended December 27, 2024 and</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876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December 29, 2023</w:t>
            </w:r>
          </w:p>
        </w:tc>
        <w:tc>
          <w:tcPr>
            <w:tcW w:w="820" w:type="dxa"/>
            <w:vAlign w:val="bottom"/>
            <w:tcBorders>
              <w:right w:val="single" w:sz="8" w:color="CCEEFF"/>
            </w:tcBorders>
            <w:gridSpan w:val="2"/>
            <w:shd w:val="clear" w:color="auto" w:fill="CCEEFF"/>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6</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40" w:type="dxa"/>
            <w:vAlign w:val="bottom"/>
            <w:tcBorders>
              <w:top w:val="single" w:sz="8" w:color="CCEEFF"/>
            </w:tcBorders>
          </w:tcPr>
          <w:p>
            <w:pPr>
              <w:spacing w:after="0"/>
              <w:rPr>
                <w:sz w:val="15"/>
                <w:szCs w:val="15"/>
                <w:color w:val="auto"/>
              </w:rPr>
            </w:pPr>
          </w:p>
        </w:tc>
        <w:tc>
          <w:tcPr>
            <w:tcW w:w="8760" w:type="dxa"/>
            <w:vAlign w:val="bottom"/>
            <w:tcBorders>
              <w:top w:val="single" w:sz="8" w:color="CCEEFF"/>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Condensed Combined Statements of Comprehensive Income (Loss) — Three and Six Months Ended</w:t>
            </w:r>
          </w:p>
        </w:tc>
        <w:tc>
          <w:tcPr>
            <w:tcW w:w="680" w:type="dxa"/>
            <w:vAlign w:val="bottom"/>
            <w:tcBorders>
              <w:top w:val="single" w:sz="8" w:color="CCEEFF"/>
            </w:tcBorders>
          </w:tcPr>
          <w:p>
            <w:pPr>
              <w:spacing w:after="0"/>
              <w:rPr>
                <w:sz w:val="15"/>
                <w:szCs w:val="15"/>
                <w:color w:val="auto"/>
              </w:rPr>
            </w:pPr>
          </w:p>
        </w:tc>
        <w:tc>
          <w:tcPr>
            <w:tcW w:w="140" w:type="dxa"/>
            <w:vAlign w:val="bottom"/>
            <w:tcBorders>
              <w:top w:val="single" w:sz="8" w:color="3635D6"/>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76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December 27, 2024 and December 29, 2023</w:t>
            </w:r>
          </w:p>
        </w:tc>
        <w:tc>
          <w:tcPr>
            <w:tcW w:w="820" w:type="dxa"/>
            <w:vAlign w:val="bottom"/>
            <w:gridSpan w:val="2"/>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876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Condensed Combined Statements of Cash Flows — Six Months Ended December 27, 2024 and December 29,</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shd w:val="clear" w:color="auto" w:fill="CCEEFF"/>
          </w:tcPr>
          <w:p>
            <w:pPr>
              <w:spacing w:after="0"/>
              <w:rPr>
                <w:sz w:val="19"/>
                <w:szCs w:val="19"/>
                <w:color w:val="auto"/>
              </w:rPr>
            </w:pPr>
          </w:p>
        </w:tc>
        <w:tc>
          <w:tcPr>
            <w:tcW w:w="876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right w:val="single" w:sz="8" w:color="CCEEFF"/>
            </w:tcBorders>
            <w:gridSpan w:val="2"/>
            <w:shd w:val="clear" w:color="auto" w:fill="CCEEFF"/>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8</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40" w:type="dxa"/>
            <w:vAlign w:val="bottom"/>
            <w:tcBorders>
              <w:top w:val="single" w:sz="8" w:color="CCEEFF"/>
            </w:tcBorders>
          </w:tcPr>
          <w:p>
            <w:pPr>
              <w:spacing w:after="0"/>
              <w:rPr>
                <w:sz w:val="15"/>
                <w:szCs w:val="15"/>
                <w:color w:val="auto"/>
              </w:rPr>
            </w:pPr>
          </w:p>
        </w:tc>
        <w:tc>
          <w:tcPr>
            <w:tcW w:w="8760" w:type="dxa"/>
            <w:vAlign w:val="bottom"/>
            <w:tcBorders>
              <w:top w:val="single" w:sz="8" w:color="CCEEFF"/>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Condensed Combined Statements of Changes in Parent Company Net Investment — Three and Six Months</w:t>
            </w:r>
          </w:p>
        </w:tc>
        <w:tc>
          <w:tcPr>
            <w:tcW w:w="680" w:type="dxa"/>
            <w:vAlign w:val="bottom"/>
            <w:tcBorders>
              <w:top w:val="single" w:sz="8" w:color="CCEEFF"/>
            </w:tcBorders>
          </w:tcPr>
          <w:p>
            <w:pPr>
              <w:spacing w:after="0"/>
              <w:rPr>
                <w:sz w:val="15"/>
                <w:szCs w:val="15"/>
                <w:color w:val="auto"/>
              </w:rPr>
            </w:pPr>
          </w:p>
        </w:tc>
        <w:tc>
          <w:tcPr>
            <w:tcW w:w="140" w:type="dxa"/>
            <w:vAlign w:val="bottom"/>
            <w:tcBorders>
              <w:top w:val="single" w:sz="8" w:color="3635D6"/>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76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Ended December 27, 2024 and December 29, 2023</w:t>
            </w:r>
          </w:p>
        </w:tc>
        <w:tc>
          <w:tcPr>
            <w:tcW w:w="820" w:type="dxa"/>
            <w:vAlign w:val="bottom"/>
            <w:gridSpan w:val="2"/>
          </w:tcPr>
          <w:p>
            <w:pPr>
              <w:jc w:val="center"/>
              <w:ind w:left="530"/>
              <w:spacing w:after="0" w:line="202" w:lineRule="exact"/>
              <w:rPr>
                <w:sz w:val="20"/>
                <w:szCs w:val="20"/>
                <w:color w:val="auto"/>
              </w:rPr>
            </w:pPr>
            <w:r>
              <w:rPr>
                <w:rFonts w:ascii="Times New Roman" w:cs="Times New Roman" w:eastAsia="Times New Roman" w:hAnsi="Times New Roman"/>
                <w:sz w:val="18"/>
                <w:szCs w:val="18"/>
                <w:color w:val="3635D6"/>
                <w:w w:val="88"/>
              </w:rPr>
              <w:t>9</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876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Notes to Condensed Combined Financial Statements</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10</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76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876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41</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76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76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tcPr>
          <w:p>
            <w:pPr>
              <w:spacing w:after="0"/>
              <w:rPr>
                <w:sz w:val="21"/>
                <w:szCs w:val="21"/>
                <w:color w:val="auto"/>
              </w:rPr>
            </w:pPr>
          </w:p>
        </w:tc>
        <w:tc>
          <w:tcPr>
            <w:tcW w:w="140" w:type="dxa"/>
            <w:vAlign w:val="bottom"/>
            <w:tcBorders>
              <w:top w:val="single" w:sz="8" w:color="3635D6"/>
            </w:tcBorders>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76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42</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76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5.</w:t>
            </w:r>
          </w:p>
        </w:tc>
        <w:tc>
          <w:tcPr>
            <w:tcW w:w="876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820" w:type="dxa"/>
            <w:vAlign w:val="bottom"/>
            <w:tcBorders>
              <w:right w:val="single" w:sz="8" w:color="CCEEFF"/>
            </w:tcBorders>
            <w:gridSpan w:val="2"/>
            <w:shd w:val="clear" w:color="auto" w:fill="CCEEFF"/>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42</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635D6"/>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76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3635D6"/>
                <w:w w:val="99"/>
              </w:rPr>
              <w:t>43</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140" w:type="dxa"/>
            <w:vAlign w:val="bottom"/>
            <w:tcBorders>
              <w:right w:val="single" w:sz="8" w:color="3635D6"/>
            </w:tcBorders>
            <w:shd w:val="clear" w:color="auto" w:fill="3635D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condensed combined basis. As used herein, the terms “we,” “us,” “our,” the “Company,” and “Sandisk” refer to Sandisk Corporation and its subsidiaries, unless we state, or the context indicates, otherwise.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Sandisk, a Delaware corporation, is the parent company of our NAND flash data storage business. Our principal executive offices are located at 951 Sandisk Drive, Milpitas, California, 95035. Our telephone number is (408) 801-1000.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These forward-looking statements include but are not limited to, statements regarding Sandisk Corporation’s (the “Company’s”) expectations related to operating as an independent company, its product and technology developments and all statements regarding the Company’s expected future position, results of operations, cash flows, and statements containing the use of forward-looking words, such as “may,” “will,” “could,” “would,” “should,” “project,” “believe,” “anticipate,” “expect,” “estimate,” “continue,” “potential,” “plan,” “forecast,” “approximate,” “intend,” “upside,” “target,” and the like, or the use of the future tense of these or other similar words. Statements contained herein concerning the Company’s expectations related to operating as an independent company, outlook or future economic performance, anticipated profitability, revenues, expenses, or other financial items, products or services line growth of the Company, and predicted market outcomes, together with other statements that are not historical facts, are forward-looking statements that are estimates reflecting the best judgment of the Company based upon currently available information. Statements concerning current conditions may also be forward-looking if they imply a continuation of current conditions.</w:t>
      </w:r>
    </w:p>
    <w:p>
      <w:pPr>
        <w:spacing w:after="0" w:line="7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management’s current expectations and represent the most current information available to us as of the date of this Quarterly Report on Form 10-Q. The Company is subject to a number of unknown risks, uncertainties and other factors, many of which the Company is unable to predict or control, that may cause actual results, performance or plans to differ materially from those expressed or implied by these forward-looking statements. These risks and uncertainties include, but are not limited to:</w:t>
      </w:r>
    </w:p>
    <w:p>
      <w:pPr>
        <w:spacing w:after="0" w:line="7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changes in global or regional conditions;</w:t>
      </w:r>
    </w:p>
    <w:p>
      <w:pPr>
        <w:spacing w:after="0" w:line="29" w:lineRule="exact"/>
        <w:rPr>
          <w:rFonts w:ascii="Times New Roman" w:cs="Times New Roman" w:eastAsia="Times New Roman" w:hAnsi="Times New Roman"/>
          <w:sz w:val="18"/>
          <w:szCs w:val="18"/>
          <w:i w:val="1"/>
          <w:iCs w:val="1"/>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risks, including our dependence on a limited number of qualified suppliers, the availability and cost of materials and components for our products, and disruptions to our supply chain;</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strategic relationships with key partners, including Kioxia Corporation;</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development and introduction of new products or technologies and management of technology transitions;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future responses to and effects of public health crises;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of revenue from, or consolidation of, our key customers or increases in our customers’ credit risk;</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volatile demand and pricing trends and fluctuations in average selling prices;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sales cyclicality and our ability to accurately forecast demand;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level of debt;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currency exchange rates;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i w:val="1"/>
          <w:iCs w:val="1"/>
          <w:color w:val="auto"/>
        </w:rPr>
      </w:pPr>
    </w:p>
    <w:p>
      <w:pPr>
        <w:ind w:left="660" w:right="8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legal or regulatory compliance, changing legal and regulatory requirements, and the impact and outcome of legal proceedings;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reliance on intellectual property and other proprietary information;</w:t>
      </w:r>
    </w:p>
    <w:p>
      <w:pPr>
        <w:spacing w:after="0" w:line="9" w:lineRule="exact"/>
        <w:rPr>
          <w:rFonts w:ascii="Times New Roman" w:cs="Times New Roman" w:eastAsia="Times New Roman" w:hAnsi="Times New Roman"/>
          <w:sz w:val="18"/>
          <w:szCs w:val="18"/>
          <w:i w:val="1"/>
          <w:iCs w:val="1"/>
          <w:color w:val="auto"/>
        </w:rPr>
      </w:pPr>
    </w:p>
    <w:p>
      <w:pPr>
        <w:ind w:left="660" w:right="68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achieve some or all of the expected benefits of the spin-off and uncertainties regarding the impacts of the spin-off, including indemnification responsibilities and tax-related considerations;</w:t>
      </w:r>
    </w:p>
    <w:p>
      <w:pPr>
        <w:ind w:left="660" w:right="48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historical and pro forma financial information is not necessarily representative of the results that we would have achieved as a separate publicly traded company;</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uncertainties regarding potential impairments to goodwill and long-lived assets; and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whether there will be an active trading market for our common stock.</w:t>
      </w:r>
    </w:p>
    <w:p>
      <w:pPr>
        <w:spacing w:after="0" w:line="9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are urged to carefully review our disclosures concerning these risks and the additional disclosures we make concerning material risks and other factors that may affect the outcome of our forward-looking statements and our business and operating results, including those made in our Registration Statement on Form 10, initially filed with the United States Securities and Exchange Commission on November 25, 2024, and as further amended thereafter and declared effective on January 31, 2025 (as amended, the “Form 10”).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Condensed Combined Financial Statements (unaudited)</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BALANCE SHEETS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4340" w:type="dxa"/>
            <w:vAlign w:val="bottom"/>
          </w:tcPr>
          <w:p>
            <w:pPr>
              <w:spacing w:after="0"/>
              <w:rPr>
                <w:sz w:val="18"/>
                <w:szCs w:val="18"/>
                <w:color w:val="auto"/>
              </w:rPr>
            </w:pPr>
          </w:p>
        </w:tc>
        <w:tc>
          <w:tcPr>
            <w:tcW w:w="43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434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320" w:type="dxa"/>
            <w:vAlign w:val="bottom"/>
            <w:gridSpan w:val="2"/>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3"/>
        </w:trPr>
        <w:tc>
          <w:tcPr>
            <w:tcW w:w="4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1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13"/>
        </w:trPr>
        <w:tc>
          <w:tcPr>
            <w:tcW w:w="4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receivable</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3"/>
        </w:trPr>
        <w:tc>
          <w:tcPr>
            <w:tcW w:w="4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due from Parent</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2"/>
        </w:trPr>
        <w:tc>
          <w:tcPr>
            <w:tcW w:w="4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8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 non-current</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6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04"/>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860" w:type="dxa"/>
            <w:vAlign w:val="bottom"/>
          </w:tcPr>
          <w:p>
            <w:pPr>
              <w:spacing w:after="0"/>
              <w:rPr>
                <w:sz w:val="17"/>
                <w:szCs w:val="17"/>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14,234</w:t>
            </w:r>
          </w:p>
        </w:tc>
        <w:tc>
          <w:tcPr>
            <w:tcW w:w="8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180" w:type="dxa"/>
            <w:vAlign w:val="bottom"/>
            <w:tcBorders>
              <w:bottom w:val="single" w:sz="8" w:color="CCEEFF"/>
            </w:tcBorders>
          </w:tcPr>
          <w:p>
            <w:pPr>
              <w:spacing w:after="0"/>
              <w:rPr>
                <w:sz w:val="3"/>
                <w:szCs w:val="3"/>
                <w:color w:val="auto"/>
              </w:rPr>
            </w:pPr>
          </w:p>
        </w:tc>
        <w:tc>
          <w:tcPr>
            <w:tcW w:w="302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r>
      <w:tr>
        <w:trPr>
          <w:trHeight w:val="169"/>
        </w:trPr>
        <w:tc>
          <w:tcPr>
            <w:tcW w:w="4180" w:type="dxa"/>
            <w:vAlign w:val="bottom"/>
            <w:shd w:val="clear" w:color="auto" w:fill="CCEEFF"/>
          </w:tcPr>
          <w:p>
            <w:pPr>
              <w:spacing w:after="0"/>
              <w:rPr>
                <w:sz w:val="14"/>
                <w:szCs w:val="14"/>
                <w:color w:val="auto"/>
              </w:rPr>
            </w:pPr>
          </w:p>
        </w:tc>
        <w:tc>
          <w:tcPr>
            <w:tcW w:w="3020" w:type="dxa"/>
            <w:vAlign w:val="bottom"/>
            <w:shd w:val="clear" w:color="auto" w:fill="CCEEFF"/>
          </w:tcPr>
          <w:p>
            <w:pPr>
              <w:ind w:left="400"/>
              <w:spacing w:after="0" w:line="169"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7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800" w:type="dxa"/>
            <w:vAlign w:val="bottom"/>
            <w:gridSpan w:val="2"/>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3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payables</w:t>
            </w:r>
          </w:p>
        </w:tc>
        <w:tc>
          <w:tcPr>
            <w:tcW w:w="3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Notes due to Parent</w:t>
            </w:r>
          </w:p>
        </w:tc>
        <w:tc>
          <w:tcPr>
            <w:tcW w:w="30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12"/>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0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7"/>
        </w:trPr>
        <w:tc>
          <w:tcPr>
            <w:tcW w:w="4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3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10, 12 and 14)</w:t>
            </w:r>
          </w:p>
        </w:tc>
        <w:tc>
          <w:tcPr>
            <w:tcW w:w="3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Parent company net investment</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Parent company net investment</w:t>
            </w:r>
          </w:p>
        </w:tc>
        <w:tc>
          <w:tcPr>
            <w:tcW w:w="3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11,534</w:t>
            </w:r>
          </w:p>
        </w:tc>
      </w:tr>
      <w:tr>
        <w:trPr>
          <w:trHeight w:val="213"/>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2"/>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Parent company net investment</w:t>
            </w:r>
          </w:p>
        </w:tc>
        <w:tc>
          <w:tcPr>
            <w:tcW w:w="30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w:t>
            </w:r>
          </w:p>
        </w:tc>
      </w:tr>
      <w:tr>
        <w:trPr>
          <w:trHeight w:val="207"/>
        </w:trPr>
        <w:tc>
          <w:tcPr>
            <w:tcW w:w="4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Parent company net investment</w:t>
            </w:r>
          </w:p>
        </w:tc>
        <w:tc>
          <w:tcPr>
            <w:tcW w:w="3020" w:type="dxa"/>
            <w:vAlign w:val="bottom"/>
          </w:tcPr>
          <w:p>
            <w:pPr>
              <w:spacing w:after="0"/>
              <w:rPr>
                <w:sz w:val="17"/>
                <w:szCs w:val="17"/>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14,234</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13,506</w:t>
            </w:r>
          </w:p>
        </w:tc>
      </w:tr>
      <w:tr>
        <w:trPr>
          <w:trHeight w:val="23"/>
        </w:trPr>
        <w:tc>
          <w:tcPr>
            <w:tcW w:w="4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5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w:t>
            </w:r>
          </w:p>
        </w:tc>
      </w:tr>
      <w:tr>
        <w:trPr>
          <w:trHeight w:val="212"/>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 (loss)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13"/>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termination and other</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0" w:type="dxa"/>
            <w:vAlign w:val="bottom"/>
          </w:tcPr>
          <w:p>
            <w:pPr>
              <w:spacing w:after="0"/>
              <w:rPr>
                <w:sz w:val="1"/>
                <w:szCs w:val="1"/>
                <w:color w:val="auto"/>
              </w:rPr>
            </w:pPr>
          </w:p>
        </w:tc>
      </w:tr>
      <w:tr>
        <w:trPr>
          <w:trHeight w:val="214"/>
        </w:trPr>
        <w:tc>
          <w:tcPr>
            <w:tcW w:w="5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contracts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2"/>
        </w:trPr>
        <w:tc>
          <w:tcPr>
            <w:tcW w:w="5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before tax</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40" w:type="dxa"/>
            <w:vAlign w:val="bottom"/>
            <w:tcBorders>
              <w:bottom w:val="single" w:sz="8" w:color="auto"/>
            </w:tcBorders>
          </w:tcPr>
          <w:p>
            <w:pPr>
              <w:spacing w:after="0"/>
              <w:rPr>
                <w:sz w:val="18"/>
                <w:szCs w:val="18"/>
                <w:color w:val="auto"/>
              </w:rPr>
            </w:pPr>
          </w:p>
        </w:tc>
      </w:tr>
      <w:tr>
        <w:trPr>
          <w:trHeight w:val="158"/>
        </w:trPr>
        <w:tc>
          <w:tcPr>
            <w:tcW w:w="7200" w:type="dxa"/>
            <w:vAlign w:val="bottom"/>
          </w:tcPr>
          <w:p>
            <w:pPr>
              <w:spacing w:after="0"/>
              <w:rPr>
                <w:sz w:val="13"/>
                <w:szCs w:val="13"/>
                <w:color w:val="auto"/>
              </w:rPr>
            </w:pPr>
          </w:p>
        </w:tc>
        <w:tc>
          <w:tcPr>
            <w:tcW w:w="15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440" w:type="dxa"/>
            <w:vAlign w:val="bottom"/>
          </w:tcPr>
          <w:p>
            <w:pPr>
              <w:spacing w:after="0"/>
              <w:rPr>
                <w:sz w:val="13"/>
                <w:szCs w:val="13"/>
                <w:color w:val="auto"/>
              </w:rPr>
            </w:pPr>
          </w:p>
        </w:tc>
      </w:tr>
      <w:tr>
        <w:trPr>
          <w:trHeight w:val="214"/>
        </w:trPr>
        <w:tc>
          <w:tcPr>
            <w:tcW w:w="7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19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154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operations:</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disposal of assets</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portion of impairment of cost method investments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foreign exchange (gain) loss</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loss in investees, net of dividends received</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non-cash operating activities, net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accrued interest on Notes due to Parent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7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7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19"/>
        </w:trPr>
        <w:tc>
          <w:tcPr>
            <w:tcW w:w="7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7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7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7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compensation</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7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5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7"/>
        </w:trPr>
        <w:tc>
          <w:tcPr>
            <w:tcW w:w="7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5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15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dispositions of business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receivable issuances to Flash Ventures</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receivable proceeds from Flash Ventures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from Flash Ventures</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Strategic investments and other, net</w:t>
            </w: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9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8"/>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borrowings on Notes due to Parent</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principal repayments on Notes due from Parent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principal on Notes due to Parent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Transfers from (to) Parent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Origination of Notes due from Parent</w:t>
            </w:r>
          </w:p>
        </w:tc>
        <w:tc>
          <w:tcPr>
            <w:tcW w:w="15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7"/>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5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12"/>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8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154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for interest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transfers of Notes due to Parent transferred from Parent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transfers of other assets and liabilities, net, from Parent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transfers of property, plant and equipment from Parent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transfers of strategic investments from Parent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transfers of liability for unrecognized tax benefits transferred from Parent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transfers of deferred taxes from Parent</w:t>
            </w:r>
          </w:p>
        </w:tc>
        <w:tc>
          <w:tcPr>
            <w:tcW w:w="15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transfers of Notes due from Parent transferred to Parent</w:t>
            </w:r>
          </w:p>
        </w:tc>
        <w:tc>
          <w:tcPr>
            <w:tcW w:w="15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bl>
    <w:p>
      <w:pPr>
        <w:spacing w:after="0" w:line="19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Combined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PARENT COMPANY NET INVESTMENT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Parent Company Net</w:t>
            </w:r>
          </w:p>
        </w:tc>
        <w:tc>
          <w:tcPr>
            <w:tcW w:w="20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0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28,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transfer from Parent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27, 2024</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unrealized loss on derivative contracts</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transfer to Parent</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27,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Parent Company Net</w:t>
            </w:r>
          </w:p>
        </w:tc>
        <w:tc>
          <w:tcPr>
            <w:tcW w:w="200" w:type="dxa"/>
            <w:vAlign w:val="bottom"/>
          </w:tcPr>
          <w:p>
            <w:pPr>
              <w:spacing w:after="0"/>
              <w:rPr>
                <w:sz w:val="16"/>
                <w:szCs w:val="16"/>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11,439</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unrealized loss on derivative contracts</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transfer from Parent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29, 2023</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10,925</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8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transfer from Parent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7"/>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Sandisk Corporation (“Company,” “we,” “us,” or “our”)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The Company operates primarily in the United States (“U.S.”) and internationally, with a significant concentration in the Asia Pacific region.</w:t>
      </w:r>
    </w:p>
    <w:p>
      <w:pPr>
        <w:spacing w:after="0" w:line="75"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On October 30, 2023, our parent company, Western Digital Corporation (collectively “WDC” or “Parent”), announced that its board of directors (“WDC Board of Directors”) authorized management to pursue a plan to separate the Company into an independent public company. The separation received final approval by the WDC Board of Directors and was completed on February 21, 2025.</w:t>
      </w:r>
    </w:p>
    <w:p>
      <w:pPr>
        <w:spacing w:after="0" w:line="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WDC executed the spin-off of the Company through WDC’s pro rata distribution of 80.1% of the outstanding shares of common stock of the Company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19.9% of the shares of the Company’s common stock, which WDC is expected to retain for a period of up to 12 months following the distribution.</w:t>
      </w:r>
    </w:p>
    <w:p>
      <w:pPr>
        <w:spacing w:after="0" w:line="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completion of the spin-off was subject to certain conditions as described in our Registration Statement on Form 10, initially filed with the U.S. Securities and Exchange Commission (“SEC”) on November 25, 2024, and as further amended thereafter and declared effective on January 31, 2025 (as amended, the “Form 10”).</w:t>
      </w:r>
    </w:p>
    <w:p>
      <w:pPr>
        <w:spacing w:after="0" w:line="6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spin-off, the Company entered into or adopted several agreements that provide a framework for the relationships between the Company and WDC. See Part 1,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the Combined Financial Statements included in this Quarterly Report on Form 10-Q.</w:t>
      </w:r>
    </w:p>
    <w:p>
      <w:pPr>
        <w:spacing w:after="0" w:line="66" w:lineRule="exact"/>
        <w:rPr>
          <w:sz w:val="20"/>
          <w:szCs w:val="20"/>
          <w:color w:val="auto"/>
        </w:rPr>
      </w:pPr>
    </w:p>
    <w:p>
      <w:pPr>
        <w:ind w:right="3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of the Notes to the Combined Financial Statements for the year ended June 28, 2024, included in Exhibit 99.1 to our Form 10.</w:t>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has prepared the accompanying Condensed Combined Financial Statements pursuant to the rules and regulations of the SEC for interim financial reporting. These Condensed Combined Financial Statements are unaudited and, in our opinion, include all adjustments, consisting of normal recurring adjustments and accruals necessary for a fair presentation of our operations, financial position, and cash flows for the periods presented. Operating results for the periods presented are not necessarily indicative of the results that may be expected for the full fiscal year due to seasonal and other factors. Certain information and footnote disclosures normally included in financial statements prepared in accordance with U.S. generally accepted accounting principles (“GAAP”) have been omitted in accordance with the rules and regulations of the SEC. These Condensed Combined Financial Statements should be read in conjunction with the Company’s audited Combined Financial Statements and accompanying notes for the year ended June 28, 2024, included in our Form 10.</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Throughout the periods covered by the Condensed Combined Financial Statements, the Company was an operating segment of WDC. Consequently, stand-alone interim financial statements were not historically prepared for the Company. The accompanying Condensed Combined Financial Statements have been prepared from WDC’s historical consolidated interim financial statements and accounting records and are presented on a stand-alone basis as if the Company’s operations had been conducted independently from WDC. The Company utilized allocations and carve-out methodologies to prepare these historic Condensed Combined Financial Statements. The Condensed Combined Financial Statements include the historical results of operations, financial position, and cash flows of the Company in accordance with GAAP, and the Company has adopted accounting policies and practices that are generally accepted in the industry in which it operates. As no single legal entity of the Company had a controlling financial interest in all other legal entities as of the reporting date, Condensed Combined Financial Statements have been prepared.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Intercompany transactions have been eliminated. With the exception of balances associated with lending arrangements reflected within Notes due to (from) Parent in the Condensed Combined Balance Sheets, transactions between the Company and WDC are generally considered to be effectively settled in the Condensed Combined Financial Statements at the time the transactions are recorded. The total net effect of the settlement of these transactions is reflected in the Condensed Combined Statements of Cash Flows as a financing activity and in the Condensed Combined Balance Sheets as Parent company net investment. General financing activities include the net impact of any cash movements resulting from WDC’s centralized treasury cash management.</w:t>
      </w:r>
    </w:p>
    <w:p>
      <w:pPr>
        <w:spacing w:after="0" w:line="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Condensed Combined Balance Sheets include all assets and liabilities that are specifically identifiable or otherwise attributable to the Company. Assets and liabilities shared between the Company and WDC are included in the stand-alone financial statements to the extent the asset is primarily used by the Company. If the Company is not the primary user of the asset, it is excluded entirely from the Condensed Combined Financial Statements. WDC has historically used a centralized approach to cash management and financing of its operations, as needed. Certain of our cash was transferred to WDC according to centrally managed cash programs by treasury, and WDC funded our operating and investing activities as needed. Cash transfers to and from WDC’s cash management accounts are reflected as a component of the Parent company net investment in the Condensed Combined Balance Sheets. Cash and cash equivalents in our Condensed Combined Balance Sheets primarily represent cash held locally by entities included in our Condensed Combined Financial Statements.</w:t>
      </w:r>
    </w:p>
    <w:p>
      <w:pPr>
        <w:spacing w:after="0" w:line="8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None of the debt obligations of WDC or corresponding interest expense have been included in the accompanying Condensed Combined Financial Statements, as the Company is neither the legal obligor nor transferee for any portion of such debt. WDC’s debt obligations were secured by a lien on substantially all assets and properties of WDC and certain key subsidiaries, which included assets and properties of the Company prior to the completion of the separation.</w:t>
      </w:r>
    </w:p>
    <w:p>
      <w:pPr>
        <w:spacing w:after="0" w:line="72"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The Condensed Combined Statements of Operations and Comprehensive Income (Loss) include all revenues and costs directly attributable to the Company as well as an allocation of expenses related to facilities, functions and services provided by WDC. Allocation of general corporate expenses from WDC include, but are not limited to, executive management, finance, tax, legal, information technology, employee benefits administration, treasury, risk management, procurement, and other shared services. These corporate expenses have been allocated to the Company based on direct usage or benefit, where identifiable, with the remainder allocated based on headcount, revenue, or other relevant measures. The allocated costs are deemed to be settled between the Company and WDC in the period in which the expense was recorded in the Condensed Combined Statements of Operations. The Condensed Combined Statements of Cash Flows present these corporate expenses as cash flows from operating activities, as these costs were incurred by WDC on our behalf. We consider these allocations to be a reasonable reflection of the utilization of services by, or the benefits provided to, the Company. The allocations may not, however, reflect the expense the Company would have incurred as a stand-alone company for the periods presented. Additionally, these costs may not be indicative of the expenses that the Company will incur in the future or would have incurred if the Company had obtained these services from an unrelated third party. It is not practicable to estimate the actual costs that would have been incurred had the Company been a stand-alone company during the periods presented. The actual costs that may have been incurred would depend on a number of factors, including the chosen organizational structure, whether functions were outsourced or performed by employees, and decisions with respect to areas such as facilities, information technology, and operating infrastructure.</w:t>
      </w:r>
    </w:p>
    <w:p>
      <w:pPr>
        <w:spacing w:after="0" w:line="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WDC maintains various stock-based compensation plans at a corporate level. Employees of the Company participated in those programs and a portion of the compensation cost associated with those plans is included in the Company’s Condensed Combined Statements of Operations for the periods presented in this Quarterly Report on Form 10-Q. Stock-based compensation expense has been included within Parent company net investment. The amounts presented in the Condensed Combined Financial Statements are not necessarily indicative of future awards and may not reflect the results that the Company would have experienced as a stand-alone entity.</w:t>
      </w:r>
    </w:p>
    <w:p>
      <w:pPr>
        <w:spacing w:after="0" w:line="75"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Current and deferred income taxes and related tax expenses have been determined based on the stand-alone results of the Company by applying Accounting Standards Codification No. 740, Income Taxes, to the Company’s operations in each country as if it were a separate taxpayer (i.e., following the “Separate Return Methodology”).</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of 52 weeks, with all quarters presented consisting of 13 weeks. Unless otherwise indicated, references herein to specific years and quarters are to fiscal years and fiscal quarters, and references to financial information are on a condensed combined basis.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Operating segments are components of an enterprise for which separate financial information is available and are evaluated regularly by the Company’s Chief Operating Decision Maker (“CODM”) in deciding how to allocate resources and in assessing performance. The Company currently operates as both a single operating and reportable segment.</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Separation Costs</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October 30, 2023, WDC announced that its Board of Directors had completed its strategic review and, after evaluating a comprehensive range of alternatives, authorized WDC to pursue a plan to separate its flash business from its hard disk drive business to create two independent public companies. As a result of the plan, the Company has incurred separation and transition costs related to the completion of its separation from WDC. The separation and transition costs are recorded within Business separation costs in the Condensed Combined Statements of Operations.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The ASU requires the Company to provide disclosure of outstanding obligations to such suppliers for all balance sheet dates presented beginning with the Company’s first quarter of 2024 and to provide certain annual roll-forward information related to those obligations beginning with the Company’s first fiscal quarter of 2025. The ASU does not affect the recognition, measurement or financial statement presentation for supplier finance program obligations. The Company adopted the guidance on the first day of fiscal year 2024, and the adoption did not have a material impact on its Condensed Combined Financial Statements. As of December 27, 2024, none of the Company’s suppliers are utilizing these programs.</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expands on segment reporting requirements primarily through enhanced disclosures surrounding significant segment expenses. The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is currently assessing these reporting requirements and expects to provide any required disclosures at that time.</w:t>
      </w:r>
    </w:p>
    <w:p>
      <w:pPr>
        <w:spacing w:after="0" w:line="8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June 26, 2026, with early adoption permitted. The Company expects to provide any required disclosures at that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and assessing the basis of adoption and expects to adopt the guidance for annual reporting periods included in the Company’s financial statements for the year ending June 30, 2028.</w:t>
      </w:r>
    </w:p>
    <w:p>
      <w:pPr>
        <w:spacing w:after="0" w:line="8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Geographic Information and Concentrations of Risk</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addresses multiple end markets. Cloud represents a large and growing end market comprised primarily of products for public or private cloud environments and enterprise customers. Through the Client end market, the Company provides its original equipment manufacturer (“OEM”) and channel customers a broad array of high-performance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disaggregated revenue information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5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9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Cloud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Client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r>
      <w:tr>
        <w:trPr>
          <w:trHeight w:val="213"/>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Asia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3"/>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Company’s top 10 customers accounted for 42% and 46% of its net revenue for the three and six months ended December 27, 2024, respectively, and 45% and 43% of its net revenue for the three and six months ended December 29, 2023, respectively. For the three and six months ended December 27, 2024, no customer accounted for more than 10% of the Company’s net revenue. For the three and six months ended December 29, 2023, one customer accounted for 10% of the Company’s net revenue.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Revenues</w:t>
      </w:r>
    </w:p>
    <w:p>
      <w:pPr>
        <w:spacing w:after="0" w:line="12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December 27, 2024, or June 28, 2024. Contract liabilities relate to customers’ payments in advance of performance under the contract and primarily relate to remaining performance obligations under professional service and support and maintenance contracts. Contract liabilities as of December 27, 2024 and June 28, 2024, and changes in contract liabilities for the three and six months ended December 27, 2024 and December 29, 2023, were not material.</w:t>
      </w:r>
    </w:p>
    <w:p>
      <w:pPr>
        <w:spacing w:after="0" w:line="75"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Company incurs sales commissions as direct incremental costs to obtain sales contracts. The Company has applied the practical expedient to recognize sales commissions as an expense when incurred if the amortization period is expected to be one year or less or the amount is not material, with these costs charged to Selling, general and administrative expenses. The Company had no other direct incremental costs to obtain contracts that have an expected benefit of greater than one year.</w:t>
      </w:r>
    </w:p>
    <w:p>
      <w:pPr>
        <w:spacing w:after="0" w:line="72" w:lineRule="exact"/>
        <w:rPr>
          <w:sz w:val="20"/>
          <w:szCs w:val="20"/>
          <w:color w:val="auto"/>
        </w:rPr>
      </w:pPr>
    </w:p>
    <w:p>
      <w:pPr>
        <w:jc w:val="both"/>
        <w:ind w:right="100" w:firstLine="486"/>
        <w:spacing w:after="0" w:line="257" w:lineRule="auto"/>
        <w:rPr>
          <w:sz w:val="20"/>
          <w:szCs w:val="20"/>
          <w:color w:val="auto"/>
        </w:rPr>
      </w:pPr>
      <w:r>
        <w:rPr>
          <w:rFonts w:ascii="Times New Roman" w:cs="Times New Roman" w:eastAsia="Times New Roman" w:hAnsi="Times New Roman"/>
          <w:sz w:val="18"/>
          <w:szCs w:val="18"/>
          <w:color w:val="auto"/>
        </w:rPr>
        <w:t>The Company applies the practical expedients and does not disclose the transaction price allocated to the remaining performance obligations for (i) arrangements with an original expected duration of one year or less, mainly consisting of professional service, support, and maintenance contracts, and (ii) variable consideration for sale-based or usage-based royalties for intellectual property license arrangements, which typically range longer than one year.</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obligations are mainly attributed to right-to-access patent license arrangements, professional service arrangements and customer support and service contracts, which will be recognized over their contract period. The transaction price allocated to the remaining performance obligations as of December 27, 2024, was not material.</w:t>
      </w:r>
    </w:p>
    <w:p>
      <w:pPr>
        <w:spacing w:after="0" w:line="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Supplemental Financial Statement Data</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goodwill activity for the period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28, 2024</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7,207</w:t>
            </w:r>
          </w:p>
        </w:tc>
      </w:tr>
      <w:tr>
        <w:trPr>
          <w:trHeight w:val="230"/>
        </w:trPr>
        <w:tc>
          <w:tcPr>
            <w:tcW w:w="9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Divestiture </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35"/>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27, 2024</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right="40" w:firstLine="8"/>
        <w:spacing w:after="0" w:line="254" w:lineRule="auto"/>
        <w:tabs>
          <w:tab w:leader="none" w:pos="163"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On September 28, 2024, the Company sold its majority interest in a subsidiary. See further discussion in Part 1, Item 1, Note 9, </w:t>
      </w:r>
      <w:r>
        <w:rPr>
          <w:rFonts w:ascii="Times New Roman" w:cs="Times New Roman" w:eastAsia="Times New Roman" w:hAnsi="Times New Roman"/>
          <w:sz w:val="15"/>
          <w:szCs w:val="15"/>
          <w:i w:val="1"/>
          <w:iCs w:val="1"/>
          <w:color w:val="auto"/>
        </w:rPr>
        <w:t>Related Parties and Related Commitments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Contingencies</w:t>
      </w:r>
      <w:r>
        <w:rPr>
          <w:rFonts w:ascii="Times New Roman" w:cs="Times New Roman" w:eastAsia="Times New Roman" w:hAnsi="Times New Roman"/>
          <w:sz w:val="15"/>
          <w:szCs w:val="15"/>
          <w:color w:val="auto"/>
        </w:rPr>
        <w:t>.</w:t>
      </w:r>
    </w:p>
    <w:p>
      <w:pPr>
        <w:spacing w:after="0" w:line="70"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Goodwill attributed to the Company represents the historical goodwill balances in WDC’s business arising from acquisitions specific to the Company.</w:t>
      </w:r>
    </w:p>
    <w:p>
      <w:pPr>
        <w:spacing w:after="0" w:line="5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 determined that its single operating segment was also its single reporting unit. 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w:t>
      </w:r>
    </w:p>
    <w:p>
      <w:pPr>
        <w:spacing w:after="0" w:line="7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 is required to use judgment when assessing goodwill for impairment, including evaluating the impact of industry and macroeconomic conditions and the determination of the fair value of the reporting unit. In addition, the estimates and assumptions used to determine the fair value as well as the actual carrying value may change based on future changes in the Company’s results of operations, macroeconomic conditions or other factors. Changes in these estimates and assumptions could materially affect the Company’s assessment of the fair value and goodwill impairment. In addition, if negative macroeconomic conditions continue or worsen, goodwill could become impaired, which could result in an impairment charge and materially adversely affect the Company’s financial condition and results of operations.</w:t>
      </w:r>
    </w:p>
    <w:p>
      <w:pPr>
        <w:spacing w:after="0" w:line="7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December 29, 2023, there were no impairment charges recorded. In the three months ended December 27, 2024, the Company identified macroeconomic conditions and other qualitative factors indicating a potential impairment of goodwill at December 27, 2024. The Company conducted a quantitative analysis of the fair value of its sole reporting unit to determine the existence and magnitude of any potential goodwill impairment. The quantitative analysis employed a weighted valuation model, assessing the fair value of the reporting unit using both income and market approaches.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income approach valued the projected discounted cash flows that are expected to be generated by the Company’s reporting unit and required judgments and estimates surrounding general economic conditions and company-specific performance inputs such as revenue growth rates, gross margins, operating costs, capital expenditures, assumed tax rates and other assumptions deemed reasonable by management. The market approach valued the reporting unit based upon financial performance and market multiples of comparable public companies, including consideration of a control premium representing the estimated amount a market participant would pay to obtain a controlling interest in the Company. After completion of the quantitative analysis, the Company determined that the fair value of its reporting unit exceeded its carrying value by 12%, resulting in no impairment charges recorded in the three and six months ended December 27, 2024. See Part 1, Item 1,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information about a potential impairment of goodwill for the three months ending March 28, 2025.</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From time to time, in connection with factoring agreements, WDC sells certain of our trade accounts receivable without recourse to third-party purchasers in exchange for cash. During the six months ended December 27, 2024, there were no trade accounts receivable of the Company sold by WDC. During the six months ended December 29, 2023, WDC sold trade accounts receivable of the Company and received cash proceeds of $272 million. The discounts on the trade accounts receivable sold during the period were not material and were recorded within Other expense, net in the Condensed Combined Statements of Operations. There were no factored receivables outstanding as of December 27, 2024 and June 28, 2024.</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40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4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r>
      <w:tr>
        <w:trPr>
          <w:trHeight w:val="21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Work-in-process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37"/>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-873760</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40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4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Machinery and equipment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r>
      <w:tr>
        <w:trPr>
          <w:trHeight w:val="21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Construction-in-process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12"/>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-1567815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 liability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524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Pr>
          <w:p>
            <w:pPr>
              <w:spacing w:after="0"/>
              <w:rPr>
                <w:sz w:val="13"/>
                <w:szCs w:val="13"/>
                <w:color w:val="auto"/>
              </w:rPr>
            </w:pPr>
          </w:p>
        </w:tc>
        <w:tc>
          <w:tcPr>
            <w:tcW w:w="126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6"/>
          </w:tcPr>
          <w:p>
            <w:pPr>
              <w:ind w:left="108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to operations</w:t>
            </w:r>
          </w:p>
        </w:tc>
        <w:tc>
          <w:tcPr>
            <w:tcW w:w="1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Utilization</w:t>
            </w: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current portion of the warranty accrual was classified in Accrued expenses and the long-term portion was classified in Other liabilities as noted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40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4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portion</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warranty accrual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-736600</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40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4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7"/>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-873760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(“AOCL”), net of tax, refers to expenses, gains, and losses that are recorded as an element of equity but are excluded from net income. The components of AOCL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Income</w:t>
            </w: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Accumulated</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28,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7"/>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transfer to Parent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27, 2024</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27, 2024, the amounts reclassified out of AOCL were losses related to foreign exchange contracts, substantially all of which were charged to Cost of revenue in the Condensed Combined Statements of Operations.</w:t>
      </w:r>
    </w:p>
    <w:p>
      <w:pPr>
        <w:spacing w:after="0" w:line="5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of December 27, 2024, substantially all existing net losses related to cash flow hedges recorded in AOCL are expected to be reclassified to earnings within the next twelve months.</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Carried at Fair Value</w:t>
      </w:r>
    </w:p>
    <w:p>
      <w:pPr>
        <w:spacing w:after="0" w:line="121"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52"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65"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5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contracts (included in other current assets)</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exchange contracts (included in accrued expenses)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34"/>
        </w:trPr>
        <w:tc>
          <w:tcPr>
            <w:tcW w:w="5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-1174115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-1174115</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-1174115</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5260" w:type="dxa"/>
            <w:vAlign w:val="bottom"/>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contracts (included in other current assets)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exchange contracts (included in accrued expenses)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34"/>
        </w:trPr>
        <w:tc>
          <w:tcPr>
            <w:tcW w:w="5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-1174115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-1174115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-1174115</wp:posOffset>
            </wp:positionV>
            <wp:extent cx="596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1"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instruments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December 27, 2024, the Company had outstanding foreign exchange forward contracts that were designated as either cash flow hedges or non-designated hedges. Substantially all of the contract maturity dates of these foreign exchange forward contracts do not exceed twelve months.</w:t>
      </w:r>
    </w:p>
    <w:p>
      <w:pPr>
        <w:spacing w:after="0" w:line="5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Changes in the fair values of the non-designated foreign exchange contracts are recognized in Other expense, net and are largely offset by corresponding changes in the fair values of the foreign currency denominated monetary assets and liabilities. For the three months ended December 27, 2024 and December 29, 2023, total net realized and unrealized transactions and foreign exchange contract currency were a $10 million loss and $3 million loss, respectively. For the six months ended December 27, 2024 total net realized and unrealized transaction and foreign exchange contract currency were a $25 million loss and were not material for the six months ended December 29, 2023.</w:t>
      </w:r>
    </w:p>
    <w:p>
      <w:pPr>
        <w:spacing w:after="0" w:line="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Unrealized gains or losses on designated cash flow hedges are recognized in AOCL. For more information regarding cash flow hedges, see Part 1, Item 1, Note 5, </w:t>
      </w:r>
      <w:r>
        <w:rPr>
          <w:rFonts w:ascii="Times New Roman" w:cs="Times New Roman" w:eastAsia="Times New Roman" w:hAnsi="Times New Roman"/>
          <w:sz w:val="18"/>
          <w:szCs w:val="18"/>
          <w:i w:val="1"/>
          <w:iCs w:val="1"/>
          <w:color w:val="auto"/>
        </w:rPr>
        <w:t>Supplemental Financial Statement Data—Accumulated other comprehensive loss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 sponsors a defined benefit pension plan that is solely available for employees located in South Korea. As of December 27, 2024, and June 28, 2024, the plan had a net unfunded status of $7 million and $6 million, respectively, classified as Other liabilities on the Condensed Combined Balance Sheets. Total pension expense included in Cost of revenue and Operating expenses in the Condensed Combined Statements of Operations was not material for the three and six months ended December 27, 2024 and December 29, 2023. No employees of the Company participate in defined benefit pension plans sponsored by WDC or its subsidiaries.</w:t>
      </w:r>
    </w:p>
    <w:p>
      <w:pPr>
        <w:spacing w:after="0" w:line="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Flash Ventures</w:t>
      </w:r>
    </w:p>
    <w:p>
      <w:pPr>
        <w:spacing w:after="0" w:line="121"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40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4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7"/>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-1148080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27, 2024, and December 29, 2023, the Company made net payments to Flash Ventures of $1.1 billion and $2.0 billion and $0.8 billion and $1.8 billion, respectively, for purchased flash-based memory wafers and net loans.</w:t>
      </w:r>
    </w:p>
    <w:p>
      <w:pPr>
        <w:spacing w:after="0" w:line="54" w:lineRule="exact"/>
        <w:rPr>
          <w:sz w:val="20"/>
          <w:szCs w:val="20"/>
          <w:color w:val="auto"/>
        </w:rPr>
      </w:pPr>
    </w:p>
    <w:p>
      <w:pPr>
        <w:ind w:right="100" w:firstLine="486"/>
        <w:spacing w:after="0" w:line="281" w:lineRule="auto"/>
        <w:rPr>
          <w:sz w:val="20"/>
          <w:szCs w:val="20"/>
          <w:color w:val="auto"/>
        </w:rPr>
      </w:pPr>
      <w:r>
        <w:rPr>
          <w:rFonts w:ascii="Times New Roman" w:cs="Times New Roman" w:eastAsia="Times New Roman" w:hAnsi="Times New Roman"/>
          <w:sz w:val="17"/>
          <w:szCs w:val="17"/>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Ventures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5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As of December 27, 2024, and June 28, 2024, the Company had accounts payable balances due to Flash Ventures of $252 million and $313 million,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60" w:firstLine="486"/>
        <w:spacing w:after="0" w:line="289" w:lineRule="auto"/>
        <w:rPr>
          <w:sz w:val="20"/>
          <w:szCs w:val="20"/>
          <w:color w:val="auto"/>
        </w:rPr>
      </w:pPr>
      <w:r>
        <w:rPr>
          <w:rFonts w:ascii="Times New Roman" w:cs="Times New Roman" w:eastAsia="Times New Roman" w:hAnsi="Times New Roman"/>
          <w:sz w:val="17"/>
          <w:szCs w:val="17"/>
          <w:color w:val="auto"/>
        </w:rPr>
        <w:t>The Company’s maximum reasonably estimable loss exposure (excluding lost profits) as a result of its involvement with Flash Ventures, based upon the Japanese yen to U.S. dollar exchange rate at December 27, 2024, is presented below. Investments in Flash Ventures are denominated in Japanese yen, and the maximum estimable loss exposure excludes any cumulative translation adjustment due to revaluation from the Japanese yen to the U.S. dollar.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214"/>
        </w:trPr>
        <w:tc>
          <w:tcPr>
            <w:tcW w:w="9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9"/>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219"/>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8"/>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37"/>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rolling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the Flash Ventures entity’s operating cash flow is insufficient to fund these investments.</w:t>
      </w:r>
    </w:p>
    <w:p>
      <w:pPr>
        <w:spacing w:after="0" w:line="79"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Flash Ventures has historically operated nearly 100% of its manufacturing capacity. During the three and six months ended December 29, 2023, as a result of flash market conditions, the Company temporarily reduced its utilization of its share of Flash Ventures’ manufacturing capacity to an abnormally low level to more closely align the Company’s flash-based wafer supply with projected demand. During the three and six months ended December 29, 2023, the Company incurred costs of $107 million and $249 million, respectively, associated with the reduction in utilization related to Flash Ventures, which was recorded as a charge to Cost of revenue. No such charges were incurred during the three and six months ended December 27, 2024.</w:t>
      </w:r>
    </w:p>
    <w:p>
      <w:pPr>
        <w:spacing w:after="0" w:line="60"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Company has facility agreements with Kioxia related to the construction and operation of Kioxia’s 300-millimeter wafer fabrication facility in Kitakami, Japan, referred to as “K1”, a wafer fabrication facility in Yokkaichi, Japan, referred to as “Y7”, and a wafer fabrication facility in Kitakami, Japan, referred to as “K2”. In connection with the construction of these facilities, the Company makes prepayments toward future building depreciation. In connection with the start-up of the K1, Y7 and K2 facilities, the Company has made prepayments over time, and as of December 27, 2024, $944 million, with $124 million recorded within Other current assets and $840 million recorded within Other non-current assets in the Condensed Combined Balance Sheets, remain to be credited against future building depreciation charges. As of December 27, 2024, the Company is also committed to making additional building depreciation prepayments of $303 million, based on the Japanese yen to U.S. dollars exchange rate of ¥157.86 as of such date, payable as follows: $60 million for the remaining of fiscal year 2025, $30 million in fiscal year 2026, $111 million in fiscal year 2027, $89 million in fiscal year 2028 and $13 million in fiscal year 2029. As of December 27, 2024, in addition to the requirements to make building depreciation prepayments, the Company will also make payments for building depreciation of approximately $107 million at varying dates through fiscal year 2035.</w:t>
      </w:r>
    </w:p>
    <w:p>
      <w:pPr>
        <w:spacing w:after="0" w:line="84"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with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50"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Activities. </w:t>
      </w:r>
      <w:r>
        <w:rPr>
          <w:rFonts w:ascii="Times New Roman" w:cs="Times New Roman" w:eastAsia="Times New Roman" w:hAnsi="Times New Roman"/>
          <w:sz w:val="18"/>
          <w:szCs w:val="18"/>
          <w:color w:val="auto"/>
        </w:rPr>
        <w:t>The Company participates in common research and development (“R&amp;D”) activities with Kioxia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contractually committed to a minimum funding level. R&amp;D commitments are immaterial to the Condensed Combined Financial Statements.</w:t>
      </w:r>
    </w:p>
    <w:p>
      <w:pPr>
        <w:spacing w:after="0" w:line="5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Off-Balance Sheet Liabilities. </w:t>
      </w:r>
      <w:r>
        <w:rPr>
          <w:rFonts w:ascii="Times New Roman" w:cs="Times New Roman" w:eastAsia="Times New Roman" w:hAnsi="Times New Roman"/>
          <w:sz w:val="18"/>
          <w:szCs w:val="18"/>
          <w:color w:val="auto"/>
        </w:rPr>
        <w:t>Flash Ventures sells to and leases back from a consortium of financial institutions a portion of its tools and has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equipment lease agreements of which the Company guarantees half of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Japanese yen and U.S. dollar-equivalent, based upon the Japanese yen to U.S. dollar exchange rate as of December 27,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Lease Amounts</w:t>
            </w:r>
          </w:p>
        </w:tc>
      </w:tr>
      <w:tr>
        <w:trPr>
          <w:trHeight w:val="158"/>
        </w:trPr>
        <w:tc>
          <w:tcPr>
            <w:tcW w:w="8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i w:val="1"/>
                <w:iCs w:val="1"/>
                <w:color w:val="auto"/>
              </w:rPr>
              <w:t>(Japanese yen, in</w:t>
            </w:r>
          </w:p>
        </w:tc>
        <w:tc>
          <w:tcPr>
            <w:tcW w:w="24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i w:val="1"/>
                <w:iCs w:val="1"/>
                <w:color w:val="auto"/>
                <w:w w:val="99"/>
              </w:rPr>
              <w:t>(U.S. dollar, in</w:t>
            </w:r>
          </w:p>
        </w:tc>
      </w:tr>
      <w:tr>
        <w:trPr>
          <w:trHeight w:val="214"/>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billions)</w:t>
            </w:r>
          </w:p>
        </w:tc>
        <w:tc>
          <w:tcPr>
            <w:tcW w:w="24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millions)</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bl>
    <w:p>
      <w:pPr>
        <w:spacing w:after="0" w:line="184"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in U.S. dollars, based upon the Japanese yen to U.S. dollar exchange rate as of December 27,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Payment of</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Purchase Option</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Annual Installments</w:t>
            </w:r>
          </w:p>
        </w:tc>
        <w:tc>
          <w:tcPr>
            <w:tcW w:w="18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at</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Guarantee Amount</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Final Lease Terms</w:t>
            </w:r>
          </w:p>
        </w:tc>
        <w:tc>
          <w:tcPr>
            <w:tcW w:w="1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of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-1148080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-1148080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liabilities resulting from Flash Ventures’ manufacturing operations in certain circumstances. The Company has not made any indemnification payments nor recorded any indemnification receivables under any such agreements. As of December 27, 2024, no amounts have been accrued in the Condensed Combined Financial Statements with respect to these indemnification agreements.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Unis Venture</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WDC also has a venture with Unisplendour Corporation Limited and Unissoft (Wuxi) Group Co. Ltd. (“Unis”), referred to as the “Unis Venture,” to market and sell the Company’s products in China and to develop data storage systems for the Chinese market in the future. On January 24, 2025, the Company and WDC entered into an equity transfer agreement (the “Equity Transfer Agreement”) to transfer WDC’s entire equity interest in the Unis Venture to us. Therefore, subsequent to the end of the second quarter of fiscal 2025, the Unis Venture will be minority owned by the Company and majority-owned by Unis.</w:t>
      </w:r>
    </w:p>
    <w:p>
      <w:pPr>
        <w:spacing w:after="0" w:line="75" w:lineRule="exact"/>
        <w:rPr>
          <w:sz w:val="20"/>
          <w:szCs w:val="20"/>
          <w:color w:val="auto"/>
        </w:rPr>
      </w:pPr>
    </w:p>
    <w:p>
      <w:pPr>
        <w:ind w:right="400" w:firstLine="486"/>
        <w:spacing w:after="0" w:line="258" w:lineRule="auto"/>
        <w:rPr>
          <w:sz w:val="20"/>
          <w:szCs w:val="20"/>
          <w:color w:val="auto"/>
        </w:rPr>
      </w:pPr>
      <w:r>
        <w:rPr>
          <w:rFonts w:ascii="Times New Roman" w:cs="Times New Roman" w:eastAsia="Times New Roman" w:hAnsi="Times New Roman"/>
          <w:sz w:val="18"/>
          <w:szCs w:val="18"/>
          <w:color w:val="auto"/>
        </w:rPr>
        <w:t>Prior to the execution of the Equity Transfer Agreement, the Unis Venture was not historically managed as a component of the Company and as such, the related equity method investment is not reflected within our Condensed Combined Financial Statements. For the three and six months ended December 27, 2024, and December 29, 2023, the Company recognized approximately 1% and 1%, respectively, of its combined revenue on products distributed by the Unis Venture. The outstanding accounts receivable due from the Unis Venture were 1% and 4% of Accounts receivable, net, as of December 27, 2024 and June 28, 2024, respectively.</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 of a Majority Interest in a Subsidiary</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In March 2024, SanDisk China Limited (“SanDisk China”), an indirect wholly-owned subsidiary of WDC, entered into an equity purchase agreement to sell 80% of its equity interest in SanDisk Semiconductor (Shanghai) Co. Ltd. (“SDSS”) an indirect wholly-owned subsidiary of WDC which holds one of the Company’s manufacturing facilities, to JCET Management Co., Ltd. (“JCET”), a wholly-owned subsidiary of JCET Group Co., Ltd., a Chinese publicly-listed company, thereby forming a venture between SanDisk China and JCET (the “Transaction”). The venture aims to provide independent semiconductor assembly, testing, and other related services in the People’s Republic of China for customers including, but not limited to,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 closed on September 28, 2024, and SanDisk China completed the sale of 80% of its equity interest in SDSS to JCET.</w:t>
      </w:r>
    </w:p>
    <w:p>
      <w:pPr>
        <w:spacing w:after="0" w:line="11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Proceeds from the sale, including working capital adjustments, were $659 million (pre-tax). On October 1, 2024, the Company received an initial pre-tax installment of $262 million. On January 6, 2025, the Company received a second pre-tax installment of $210 million and expects to receive remaining pre-tax proceeds of $187 million in five installments of approximately $37 million on September 28 of each year through September 28, 2029. As of December 27, 2024, the outstanding consideration receivable was recognized at its present value of $370 million, with $243 million classified as Other current assets and $127 million classified as Other non-current assets in the Condensed Combined Balance Sheets. The present value discount of $27 million as of December 27, 2024 will be recognized using the effective interest method over the next five years as Interest income in the Condensed Combined Statements of Operations.</w:t>
      </w:r>
    </w:p>
    <w:p>
      <w:pPr>
        <w:spacing w:after="0" w:line="8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Company’s 20% retained interest in SDSS was determined to be valued at $158 million based on the fair value of the total pre-tax consideration received and receivable from JCET for its purchase of its 80% interest in SDSS. The Company accounts for its 20% interest in SDSS as an equity method investment within Other non-current assets in the Condensed Combined Balance Sheets. The Company’s 20% interest in the earnings of SDSS will be recognized one quarter in arrears and will be reported in Other expense, net in the Condensed Combined Statements of Operations.</w:t>
      </w:r>
    </w:p>
    <w:p>
      <w:pPr>
        <w:spacing w:after="0" w:line="7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Transaction resulted in a pre-tax gain of $34 million, calculated as the difference between the total consideration for the sale, including the outstanding consideration receivable and the fair value of the Company’s 20% retained interest, less the carrying value of the net assets divested, which included, among other items, $71 million of cash and cash equivalents and $382 million of goodwill allocated to SDSS.</w:t>
      </w:r>
    </w:p>
    <w:p>
      <w:pPr>
        <w:spacing w:after="0" w:line="6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Subsequent to and in connection with the Transaction, Western Digital Technologies, Inc. (“WDT”) entered into a five-year supply agreement with SDSS (the “Supply Agreement”) to purchase certain flash-based products with a minimum annual commitment of $550 million (the “minimum annual commitment”). On January 10, 2025, the Company and WDT entered into an assignment agreement, pursuant to which, WDT assigned all of its rights and obligations under the Supply Agreement to the Company. The Supply Agreement contains specific penalties the Company must pay if SDSS fails to meet its minimum annual commitment. The Supply Agreement also provides that if SDSS purchases exceed the minimum annual commitment in any of the two years immediately succeeding any annual period where a shortfall penalty has been paid, SDSS shall reimburse the Company an amount not exceeding the previously paid penalty amount. The Supply Agreement expires on September 28, 2029, and automatically renews for additional one-year terms unless earlier terminated by either of the parties. The Company also entered into an agreement to grant SDSS certain intellectual property rights on a royalty-free basis for use in manufacturing products on the Company’s behalf for the term of and under the Supply Agreement. For the six months ended December 27, 2024, the Company made purchases of $111 million under the Supply Agreement and had an accounts payable balance due to SDSS of $117 million as of December 27, 2024.</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also entered into an arrangement to provide certain transition services for a limited period following the closing of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under this arrangement were not material.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Notes Due to (from) Parent</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Prior to the separation, the Company received financing from certain of WDC’s subsidiaries in the form of borrowings under revolving credit agreements and promissory notes to fund activities primarily related to Flash Ventures. Additionally, cash generated by the Company was lent from time to time via promissory notes to certain of WDC’s subsidiaries for use in general corporate purposes. Outstanding balances due under these financing arrangements are due on demand.</w:t>
      </w:r>
    </w:p>
    <w:p>
      <w:pPr>
        <w:spacing w:after="0" w:line="72"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following presents a summary of the outstanding borrowings between the Company and subsidiaries of WDC for the periods presented, inclusive of any associated interest payable or interest receivable: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38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Notes due from Parent</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Revolving Credit Agreement due from Parent $101M -</w:t>
            </w:r>
          </w:p>
        </w:tc>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AFR Rate (USD) or TIBOR + .35% (YEN)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Oct. 3, 2019</w:t>
            </w:r>
          </w:p>
        </w:tc>
        <w:tc>
          <w:tcPr>
            <w:tcW w:w="41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Notes due from Parent</w:t>
            </w:r>
          </w:p>
        </w:tc>
        <w:tc>
          <w:tcPr>
            <w:tcW w:w="4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9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Notes due to Parent</w:t>
            </w: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160" w:type="dxa"/>
            <w:vAlign w:val="bottom"/>
            <w:gridSpan w:val="2"/>
            <w:shd w:val="clear" w:color="auto" w:fill="CCEEFF"/>
          </w:tcPr>
          <w:p>
            <w:pPr>
              <w:ind w:left="180"/>
              <w:spacing w:after="0" w:line="164" w:lineRule="exact"/>
              <w:rPr>
                <w:sz w:val="20"/>
                <w:szCs w:val="20"/>
                <w:color w:val="auto"/>
              </w:rPr>
            </w:pPr>
            <w:r>
              <w:rPr>
                <w:rFonts w:ascii="Times New Roman" w:cs="Times New Roman" w:eastAsia="Times New Roman" w:hAnsi="Times New Roman"/>
                <w:sz w:val="16"/>
                <w:szCs w:val="16"/>
                <w:color w:val="auto"/>
              </w:rPr>
              <w:t>Revolving Credit Agreement due to Parent $1B - Sep. 27,</w:t>
            </w:r>
          </w:p>
        </w:tc>
        <w:tc>
          <w:tcPr>
            <w:tcW w:w="4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+ 1.6%</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41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Notes due to Parent $500M - Nov. 25, 2014</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1-year swap + 2%</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9"/>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Due to Parent $42B Yen - Apr. 29, 2014</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TIBOR + .35%</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62"/>
        </w:trPr>
        <w:tc>
          <w:tcPr>
            <w:tcW w:w="41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Revolving Credit Agreement due to Parent $100M - Aug.</w:t>
            </w:r>
          </w:p>
        </w:tc>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LIBOR Rate + 150 basis points</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4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20, 2021</w:t>
            </w:r>
          </w:p>
        </w:tc>
        <w:tc>
          <w:tcPr>
            <w:tcW w:w="10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Notes due to Parent</w:t>
            </w:r>
          </w:p>
        </w:tc>
        <w:tc>
          <w:tcPr>
            <w:tcW w:w="4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Notes due to Parent,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presents interest expense and interest income on notes due to (from) Parent, which have been recorded within Interest expense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 the Condensed Combined Statements of Operations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5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ind w:left="9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notes due to Parent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on notes due from Parent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(3)</w:t>
            </w:r>
          </w:p>
        </w:tc>
      </w:tr>
    </w:tbl>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Corporate Expenses</w:t>
      </w:r>
    </w:p>
    <w:p>
      <w:pPr>
        <w:spacing w:after="0" w:line="119"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WDC has provided various corporate services to the Company in the ordinary course of business, including executive management, finance, tax, legal, information technology, employee benefits administration, treasury, risk management, procurement and other shared services. These corporate expenses have been allocated to the Company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w:t>
      </w:r>
    </w:p>
    <w:p>
      <w:pPr>
        <w:spacing w:after="0" w:line="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Effective at the beginning of the second quarter of fiscal year 2025, the Company was operationally separated from the operations that were ultimately retained by WDC following completion of the spin-off transaction. In connection with this operational separation, personnel serving the Company in shared service functions were transferred into legal entities dedicated to the Company, and substantially all assets, liabilities, and contracts pertaining to operations of the Company were transferred to legal entities dedicated to the Company as well. Accordingly, there was a substantial reduction in the pool of shared corporate overhead costs of WDC that were subject to allocation in the second quarter of fiscal year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summarizes the impact of expense allocations from WDC within the Condensed Combined Statements of Operations for the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040" w:type="dxa"/>
            <w:vAlign w:val="bottom"/>
            <w:gridSpan w:val="6"/>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5240" w:type="dxa"/>
            <w:vAlign w:val="bottom"/>
          </w:tcPr>
          <w:p>
            <w:pPr>
              <w:spacing w:after="0"/>
              <w:rPr>
                <w:sz w:val="13"/>
                <w:szCs w:val="13"/>
                <w:color w:val="auto"/>
              </w:rPr>
            </w:pPr>
          </w:p>
        </w:tc>
        <w:tc>
          <w:tcPr>
            <w:tcW w:w="11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9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5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Employee termination and other charges</w:t>
            </w: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allocation of Corporate Expenses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historical financial statements do not purport to reflect what results of operations, financial position, equity or cash flows would have been if we had operated as a stand-alone company during the periods presented.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Management</w:t>
      </w:r>
    </w:p>
    <w:p>
      <w:pPr>
        <w:spacing w:after="0" w:line="11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Prior to the separation, WDC provided funding for our operating and investing activities, including pooled cash managed by WDC’s treasury, to fund operating expenses and capital expenditures. WDC also directly collected certain of our receivables. These activities are reflected as a component of the Parent’s net investment, and this arrangement is not reflective of the manner in which we would operate on a stand-alone company separate from WDC during the periods presented.</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Parent Company Net Investment</w:t>
      </w:r>
    </w:p>
    <w:p>
      <w:pPr>
        <w:spacing w:after="0" w:line="11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Parent company net investment on the Condensed Combined Balance Sheets represents WDC’s historical investment in the Company, the net effect of transactions with and allocations from WDC, the Company’s retained earnings and the allocation to the Company of cumulative effect adjustments from the adoption of new accounting standards.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Transfers from (to) Parent</w:t>
      </w:r>
    </w:p>
    <w:p>
      <w:pPr>
        <w:spacing w:after="0" w:line="11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Net transfers from (to) Parent on the Condensed Combined Statements of Changes in Parent Company Net Investment to the corresponding amounts on the Condensed Combined Statements of Cash Flows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Pr>
          <w:p>
            <w:pPr>
              <w:spacing w:after="0"/>
              <w:rPr>
                <w:sz w:val="13"/>
                <w:szCs w:val="13"/>
                <w:color w:val="auto"/>
              </w:rPr>
            </w:pPr>
          </w:p>
        </w:tc>
        <w:tc>
          <w:tcPr>
            <w:tcW w:w="126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right"/>
              <w:ind w:right="999"/>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from Parent per Condensed Combined Statements of Changes in Parent Company Net Investment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for unrecognized tax benefits transferred from Parent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transferred from Parent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investments transferred from Parent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and liabilities, net transferred from Parent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transferred from Parent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to Parent transferred from Parent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from Parent transferred to Parent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 net transferred from Parent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transfers from (to) Parent per Condensed Combined Statements of Cash Flows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fiscal year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right-of-use lease assets and lease liabilities included in the Company’s Condensed Combined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40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8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40" w:type="dxa"/>
            <w:vAlign w:val="bottom"/>
            <w:shd w:val="clear" w:color="auto" w:fill="CCEEFF"/>
          </w:tcPr>
          <w:p>
            <w:pPr>
              <w:spacing w:after="0"/>
              <w:rPr>
                <w:sz w:val="18"/>
                <w:szCs w:val="18"/>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73"/>
        </w:trPr>
        <w:tc>
          <w:tcPr>
            <w:tcW w:w="8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operating lease liabilities (included in accrued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37"/>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5240" w:type="dxa"/>
            <w:vAlign w:val="bottom"/>
          </w:tcPr>
          <w:p>
            <w:pPr>
              <w:spacing w:after="0"/>
              <w:rPr>
                <w:sz w:val="13"/>
                <w:szCs w:val="13"/>
                <w:color w:val="auto"/>
              </w:rPr>
            </w:pPr>
          </w:p>
        </w:tc>
        <w:tc>
          <w:tcPr>
            <w:tcW w:w="1220" w:type="dxa"/>
            <w:vAlign w:val="bottom"/>
          </w:tcPr>
          <w:p>
            <w:pPr>
              <w:jc w:val="center"/>
              <w:ind w:lef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20" w:type="dxa"/>
            <w:vAlign w:val="bottom"/>
          </w:tcPr>
          <w:p>
            <w:pPr>
              <w:spacing w:after="0"/>
              <w:rPr>
                <w:sz w:val="13"/>
                <w:szCs w:val="13"/>
                <w:color w:val="auto"/>
              </w:rPr>
            </w:pPr>
          </w:p>
        </w:tc>
        <w:tc>
          <w:tcPr>
            <w:tcW w:w="1280" w:type="dxa"/>
            <w:vAlign w:val="bottom"/>
          </w:tcPr>
          <w:p>
            <w:pPr>
              <w:jc w:val="center"/>
              <w:ind w:left="21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7"/>
              </w:rPr>
              <w:t>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-556895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-556895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28,</w:t>
            </w:r>
          </w:p>
        </w:tc>
      </w:tr>
      <w:tr>
        <w:trPr>
          <w:trHeight w:val="214"/>
        </w:trPr>
        <w:tc>
          <w:tcPr>
            <w:tcW w:w="80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13.7</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1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-278765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jc w:val="center"/>
              <w:ind w:left="1896"/>
              <w:spacing w:after="0"/>
              <w:rPr>
                <w:sz w:val="20"/>
                <w:szCs w:val="20"/>
                <w:color w:val="auto"/>
              </w:rPr>
            </w:pPr>
            <w:r>
              <w:rPr>
                <w:rFonts w:ascii="Times New Roman" w:cs="Times New Roman" w:eastAsia="Times New Roman" w:hAnsi="Times New Roman"/>
                <w:sz w:val="18"/>
                <w:szCs w:val="18"/>
                <w:b w:val="1"/>
                <w:bCs w:val="1"/>
                <w:color w:val="auto"/>
                <w:w w:val="99"/>
              </w:rPr>
              <w:t>SANDISK CORPORATION</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9260" w:type="dxa"/>
            <w:vAlign w:val="bottom"/>
          </w:tcPr>
          <w:p>
            <w:pPr>
              <w:jc w:val="center"/>
              <w:ind w:left="1916"/>
              <w:spacing w:after="0"/>
              <w:rPr>
                <w:sz w:val="20"/>
                <w:szCs w:val="20"/>
                <w:color w:val="auto"/>
              </w:rPr>
            </w:pPr>
            <w:r>
              <w:rPr>
                <w:rFonts w:ascii="Times New Roman" w:cs="Times New Roman" w:eastAsia="Times New Roman" w:hAnsi="Times New Roman"/>
                <w:sz w:val="18"/>
                <w:szCs w:val="18"/>
                <w:b w:val="1"/>
                <w:bCs w:val="1"/>
                <w:color w:val="auto"/>
                <w:w w:val="99"/>
              </w:rPr>
              <w:t>NOTES TO CONDENSED COMBINED FINANCIAL STATEMENTS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9260" w:type="dxa"/>
            <w:vAlign w:val="bottom"/>
          </w:tcPr>
          <w:p>
            <w:pPr>
              <w:jc w:val="center"/>
              <w:ind w:left="189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December 27, 2024, minimum lease payments were as follows: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48"/>
        </w:trPr>
        <w:tc>
          <w:tcPr>
            <w:tcW w:w="9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Lease Amounts</w:t>
            </w:r>
          </w:p>
        </w:tc>
      </w:tr>
      <w:tr>
        <w:trPr>
          <w:trHeight w:val="211"/>
        </w:trPr>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499"/>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8"/>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Minimum lease payments by fiscal year:</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Remaining six months of 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7"/>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6"/>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Imputed interest</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2"/>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Sale-Leaseback</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has been allocated to us on a relative square footage basis and reflected as a cash inflow from investing activities within the Condensed Combined Statements of Cash Flows for the six months ended December 29, 2023. In connection with the sale and leaseback, the Company recorded a gain of $60 million upon the closing of the transaction. For more information, see Part 1, Item 1, Note 13, </w:t>
      </w:r>
      <w:r>
        <w:rPr>
          <w:rFonts w:ascii="Times New Roman" w:cs="Times New Roman" w:eastAsia="Times New Roman" w:hAnsi="Times New Roman"/>
          <w:sz w:val="18"/>
          <w:szCs w:val="18"/>
          <w:i w:val="1"/>
          <w:iCs w:val="1"/>
          <w:color w:val="auto"/>
        </w:rPr>
        <w:t>Employee Termination and Other Charges</w:t>
      </w:r>
      <w:r>
        <w:rPr>
          <w:rFonts w:ascii="Times New Roman" w:cs="Times New Roman" w:eastAsia="Times New Roman" w:hAnsi="Times New Roman"/>
          <w:sz w:val="18"/>
          <w:szCs w:val="18"/>
          <w:color w:val="auto"/>
        </w:rPr>
        <w:t xml:space="preserve"> of the Notes to Condensed Combined Financial Statements included in this Quarterly Report on Form 10-Q.</w:t>
      </w:r>
    </w:p>
    <w:p>
      <w:pPr>
        <w:spacing w:after="0" w:line="7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property is being leased back to the Company at a total annual rate of $16 million for the first year and increasing by 3% per year thereafter through January 1, 2039. The lease includes three five-year renewal options and one four-year renewal option for the ability to extend through December 2057. The associated operating lease liability and right-of-use asset for this facility has been included in the Condensed Combined Balance Sheets as of December 27, 2024 and June 28, 2024. This facility is utilized in the Company’s operations, and the total lease expense has been allocated to the Company based on the continued usage of the facility.</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Agreements and Other Commitments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coming months, are recorded as a liability upon receipt of the components, and generally may be changed or canceled at any time prior to shipment of the components. The Company also enters into long-term agreements with suppliers that contain fixed future commitments, which are contingent upon certain conditions such as performance, quality and technology of the vendor’s components. As of December 27, 2024, the Company had the following minimum long-term commitments: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Long-term commitments</w:t>
            </w:r>
          </w:p>
        </w:tc>
      </w:tr>
      <w:tr>
        <w:trPr>
          <w:trHeight w:val="211"/>
        </w:trPr>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499"/>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8"/>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3"/>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Remaining six months of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3"/>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1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3"/>
        </w:trPr>
        <w:tc>
          <w:tcPr>
            <w:tcW w:w="9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6"/>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2"/>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1"/>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Stock-based Compensation Expense</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costs charged to the Company related to the Company’s employees’ participation in WDC’s equity incentive plan during the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040" w:type="dxa"/>
            <w:vAlign w:val="bottom"/>
            <w:gridSpan w:val="6"/>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5240" w:type="dxa"/>
            <w:vAlign w:val="bottom"/>
          </w:tcPr>
          <w:p>
            <w:pPr>
              <w:spacing w:after="0"/>
              <w:rPr>
                <w:sz w:val="13"/>
                <w:szCs w:val="13"/>
                <w:color w:val="auto"/>
              </w:rPr>
            </w:pPr>
          </w:p>
        </w:tc>
        <w:tc>
          <w:tcPr>
            <w:tcW w:w="11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9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2"/>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total unrecognized stock-based compensation expense associated with our employees was $303 million as of December 27, 2024. The total unrecognized stock-based expense relates to employees of WDC who will be employees of the Company after the separation.</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WDC completed its accounting for the tax effects of the enactment of the 2017 Act during the second quarter of 2019. However, the U.S. Treasury and the Internal Revenue Service have issued tax guidance on certain provisions of the 2017 Act since the enactment date, and the Company anticipates the issuance of additional regulatory and interpretive guidance. WDC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79"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CAMT was effective for the Company beginning with fiscal year 2024. The Company does not expect to be subject to the CAMT of 15% for fiscal year 2025 as its average annual AFSI did not exceed $1.0 billion for the preceding three-year period.</w:t>
      </w:r>
    </w:p>
    <w:p>
      <w:pPr>
        <w:spacing w:after="0" w:line="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the Pillar Two, some of which are effective for the Company in fiscal year 2025. For fiscal year 2025, the Company currently expects to be able to meet certain transitional safe harbors and does not expect any material Pillar Two taxes. As more jurisdictions adopt this legislation in fiscal year 2026, there may be material increases in the Company’s future tax obligations in certain jurisdictions.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2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4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440</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(754)</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w:t>
            </w:r>
          </w:p>
        </w:tc>
        <w:tc>
          <w:tcPr>
            <w:tcW w:w="2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17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Beginning in fiscal year 2023, the 2017 Act requires the Company to capitalize and amortize R&amp;D expenses rather than expensing them in the year incurred. The tax effects related to the capitalization of R&amp;D expenses are included in the effective tax rate for the three and six months ended December 27, 2024 and December 29,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relative mix of earnings and losses by jurisdiction, the deduction for foreign-derived intangible income, credits and tax holidays in Malaysia that have or will expire at various dates during years 2025 through 2031 resulted in decreases to the effective tax rate below the U.S. statutory rate for the three and six months ended December 27, 2024. However, the tax effects of the mandatory capitalization of R&amp;D expenses offset these decreases, resulting in the effective tax rate being closer to the U.S. Federal statutory rate for the three and six months ended December 27, 2024.</w:t>
      </w:r>
    </w:p>
    <w:p>
      <w:pPr>
        <w:spacing w:after="0" w:line="72"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29, 2023 and the U.S. Federal statutory rate of 21% are the relative mix of earnings and losses by jurisdiction, the deduction for foreign-derived intangible income, credits and tax holidays in Malaysia.</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Combined Balance Sheets.</w:t>
      </w:r>
    </w:p>
    <w:p>
      <w:pPr>
        <w:spacing w:after="0" w:line="54"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 for the six months ended December 27,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28, 2024</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3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9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Gross decrease related to prior year tax positions</w:t>
            </w: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4"/>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December 27, 2024</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27, 2024 and June 28, 2024, the liability for unrecognized tax benefits (excluding accrued interest and penalties) was $60 million and $47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December 27, 2024 and June 28, 2024 was $6 million and $9 million, respectively.</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relating to the examination of the Company’s tax returns.</w:t>
      </w:r>
    </w:p>
    <w:p>
      <w:pPr>
        <w:spacing w:after="0" w:line="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Employee Termination and Other Charges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periodically incurs charges to realign its operations with anticipated market demand, primarily consisting of organization rationalization designed to streamline its business, reduce its cost structure and focus its resources. The Company has taken actions to reduce the amount of capital invested in facilities, including the sale-leaseback of its facility in Milpitas, California, in September 2023, as discussed in Part 1, Item 1,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Commitments </w:t>
      </w:r>
      <w:r>
        <w:rPr>
          <w:rFonts w:ascii="Times New Roman" w:cs="Times New Roman" w:eastAsia="Times New Roman" w:hAnsi="Times New Roman"/>
          <w:sz w:val="18"/>
          <w:szCs w:val="18"/>
          <w:color w:val="auto"/>
        </w:rPr>
        <w:t>of the Notes to Condensed Combined Financial Statements included in this Quarterly Report on Form 10-Q.</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following net charges related to these actions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040" w:type="dxa"/>
            <w:vAlign w:val="bottom"/>
            <w:gridSpan w:val="6"/>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5240" w:type="dxa"/>
            <w:vAlign w:val="bottom"/>
          </w:tcPr>
          <w:p>
            <w:pPr>
              <w:spacing w:after="0"/>
              <w:rPr>
                <w:sz w:val="13"/>
                <w:szCs w:val="13"/>
                <w:color w:val="auto"/>
              </w:rPr>
            </w:pPr>
          </w:p>
        </w:tc>
        <w:tc>
          <w:tcPr>
            <w:tcW w:w="11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9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89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sale-leaseback of facility</w:t>
            </w: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rPr>
              <w:t>(60)</w:t>
            </w:r>
          </w:p>
        </w:tc>
      </w:tr>
      <w:tr>
        <w:trPr>
          <w:trHeight w:val="212"/>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employee termination and other charges</w:t>
            </w: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center"/>
              <w:ind w:left="859"/>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-736600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-736600</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-736600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termination benefits accrual balance as of December 27, 2024 and the periodic activity during the three and six months ended December 27, 2024 were not material.</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tab/>
        <w:t>Subsequent Events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spin-off</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January 31, 2025, the Company’s Form 10 was declared effective by the SEC.</w:t>
      </w:r>
    </w:p>
    <w:p>
      <w:pPr>
        <w:spacing w:after="0" w:line="11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February 21, 2025, the Company completed its spin-off from WDC (the “Spin-Off”) through WDC’s pro rata distribution of 80.1% of the outstanding shares of common stock of the Company to WDC’s existing stockholders. Each of WDC’s stockholders received one-third (1/3) of one share of the Company’s common stock for each share of WDC’s common stock held by such WDC stockholder as of February 12, 2025, the record date of the distribution. Upon completion of the Spin-Off, WDC owned 19.9% of the outstanding shares of the Company’s common stock, which WDC is expected to retain for a period of up to 12 months following the separation. The Company is also subject to various agreements with WDC in connection with the separation. On February 24, 2025, the Company began trading as an independent, publicly traded company under the stock symbol “SNDK” on the Nasdaq Stock Market LLC (“Nasdaq”).</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and as of the closing date of the Spin-Off, on February 21, 2025, the Company entered into definitive agreements with WDC that set forth the terms and conditions of the Spin-Off and provide a framework for WDC’s relationship with the Company following the Spin-Off. These agreements include the Separation and Distribution Agreement (as described below), which contains certain key provisions related to the Spin-Off, as well as a Transition Services Agreement, a Tax Matters Agreement, an Employee Matters Agreement, an Intellectual Property Cross-License Agreement, a Transitional Trademark License Agreement, and a Stockholder and Registration Rights Agreement, as described in and filed as Exhibits to the Company’s Current Report on Form 8-K on February 24, 2025. Additionally, the Company adopted certain compensation plans, which were filed as Exhibits to our Form 10.</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February 21, 2025, the Company entered into a Loan Agreement (the “Loan Agreement”) by and among the Company, the lenders party thereto, JPMorgan Chase Bank, N.A., as administrative agent and collateral agent and the other parties party thereto. The Loan Agreement comprises a term loan B facility in the principal amount of $2 billion (the “Term Loan Facility”) and a revolving credit facility in the principal amount of $1.5 billion (the “Revolving Credit Facility” and together with the Term Loan Facility, the “Facilities”). The Term Loan Facility bears interest, at the Company’s option, at</w:t>
      </w:r>
    </w:p>
    <w:p>
      <w:pPr>
        <w:spacing w:after="0" w:line="3" w:lineRule="exact"/>
        <w:rPr>
          <w:sz w:val="20"/>
          <w:szCs w:val="20"/>
          <w:color w:val="auto"/>
        </w:rPr>
      </w:pPr>
    </w:p>
    <w:p>
      <w:pPr>
        <w:ind w:right="260"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Term SOFR Rate (as defined in the Loan Agreement) plus an interest rate margin of 3.00% per annum or (y) a base rate plus an interest rate margin of 2.00% per annum. The Term Loan Facility will mature on February 20, 2032, and amortizes at 1.00% per annum.</w:t>
      </w:r>
    </w:p>
    <w:p>
      <w:pPr>
        <w:spacing w:after="0" w:line="73"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for U.S. dollar borrowings, will bear interest, at the Company’s option, at (x) the Adjusted Term SOFR Rate (as defined in the Loan Agreement), which rate includes a credit spread adjustment of 0.10%, plus an interest rate margin of 2.00% per annum (subject to step-ups based on the Company’s Leverage Ratio (as defined in the Loan Agreement)), or (y) a base rate plus an interest rate margin of 1.00% per annum (subject to step-ups based on the Company’s Leverage Ratio (as defined in the Loan Agreement)). The Company will pay a commitment fee of 0.30% per annum (subject to step-ups based on the Company’s Leverage Ratio (as defined in the Loan Agreement)) in respect of undrawn revolving commitments under the Revolving Credit Facility. The Revolving Credit Facility will also provide for borrowings in Euros, Yen and additional currencies agreed to by the lenders under the Revolving Credit Facility. The Revolving Credit Facility will mature on February 21, 2030, at which time the commitments thereunder shall be terminated and will not have any amortization.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obligations under the Loan Agreement are guaranteed by the Company’s wholly owned subsidiary, Sandisk Technologies, Inc. (“SDT”) and are required to be guaranteed by any of the Company’s future material U.S. wholly owned subsidiaries, subject to certain exceptions outlined in the Loan Agreement. The obligations under the Loan Agreement are secured by the Company’s assets and SDT’s assets and are required to be secured by the assets of any of the Company’s future material U.S. wholly owned subsidiaries, subject, in each case, to certain exceptions outlined in the Loan Agreement.</w:t>
      </w:r>
    </w:p>
    <w:p>
      <w:pPr>
        <w:spacing w:after="0" w:line="7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Loan Agreement includes certain restrictions (subject to certain exceptions outlined in the Loan Agreement) on the ability of the Company and its subsidiaries to undertake certain activities, including to incur indebtedness and liens, merge or consolidate with other entities, dispose or transfer their assets, pay dividends or make distributions, make investments, make payments on junior or subordinated debt, enter into burdensome agreements or transact with affiliates. The Loan Agreement also includes a financial covenant, which is solely for the benefit of the lenders under the Revolving Credit Facility, that requires the Company to maintain a maximum Leverage Ratio (as defined in the Loan Agreement).</w:t>
      </w:r>
    </w:p>
    <w:p>
      <w:pPr>
        <w:spacing w:after="0" w:line="75"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On February 21, 2025, the Company borrowed $2 billion under its Term Loan Facility. The Company used a portion of the proceeds of the borrowing to pay a dividend to WDC in the amount of approximately $1.5 billion, with the remainder to be used for general corporate purposes of the Company. The Revolving Credit Facility may be borrowed by the Company from time to time for general corporate purposes.</w:t>
      </w:r>
    </w:p>
    <w:p>
      <w:pPr>
        <w:spacing w:after="0" w:line="6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Loan Agreement, the Company and SDT entered into a security agreement (the “Security Agreement”) to secure the obligations under the Facilities on a first-priority basis (subject to permitted liens) by a lien on substantially all the assets and properties of the Company and SDT, subject to certain exceptions.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Loan Agreement, the Company (solely with respect to obligations of any additional Borrower under the Loan Agreement) and SDT entered into a guaranty agreement (the “Guaranty Agreement”) to secure and unconditionally guarantee the obligations under the Loan Agreement, respectively, in each case subject to certain exceptions.</w:t>
      </w:r>
    </w:p>
    <w:p>
      <w:pPr>
        <w:spacing w:after="0" w:line="6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Loan Agreement, Security Agreement and Guaranty Agreement do not purport to be complete and are subject to, and qualified in its entirety by, the full text of the Loan Agreement, Security Agreement and Guaranty Agreement, copies of which are filed as Exhibits 10.7 to 10.9 hereto and are incorporated herein by reference.</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Potential Impairment of Goodwill and Long-lived Assets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Subsequent to the completion of the separation, the Company identified potential impairment indicators related to the trading price of the Company’s common stock and a resulting market capitalization that was below its December 27, 2024 net book value. In accordance with Accounting Standards Codification No. 350, Intangibles - Goodwill and Other, the Company initiated a quantitative analysis of potential impairment of goodwill and long-lived assets. That analysis is ongoing, and the Company believes it is more likely than not that it will record an impairment charge in the three months ending March 28, 2025. See Part 1, Item 1, Note 5, </w:t>
      </w:r>
      <w:r>
        <w:rPr>
          <w:rFonts w:ascii="Times New Roman" w:cs="Times New Roman" w:eastAsia="Times New Roman" w:hAnsi="Times New Roman"/>
          <w:sz w:val="18"/>
          <w:szCs w:val="18"/>
          <w:i w:val="1"/>
          <w:iCs w:val="1"/>
          <w:color w:val="auto"/>
        </w:rPr>
        <w:t>Supplemental Financial Statement Data</w:t>
      </w:r>
      <w:r>
        <w:rPr>
          <w:rFonts w:ascii="Times New Roman" w:cs="Times New Roman" w:eastAsia="Times New Roman" w:hAnsi="Times New Roman"/>
          <w:sz w:val="18"/>
          <w:szCs w:val="18"/>
          <w:color w:val="auto"/>
        </w:rPr>
        <w:t>, for information about how goodwill is tested for impairment.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Combined Financial Statements and the notes thereto included in this Quarterly Report on Form 10-Q and the audited Combined Financial Statements and notes thereto for the fiscal year ended June 28, 2024, included in our Registration Statement on Form 10, filed with the United States (“U.S.”) Securities and Exchange Commission (“SEC”) on November 25, 2024, and as further amended thereafter and declared effective on January 31, 2025 (as amended, the “Form 10”). See also “Forward-Looking Statements” immediately prior to Part I, Item 1 in this Quarterly Report on Form 10-Q.</w:t>
      </w:r>
    </w:p>
    <w:p>
      <w:pPr>
        <w:spacing w:after="0" w:line="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Sandisk Corporation and its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Our solutions include a broad range of solid-state drives (“SSD”), embedded products, removable cards, universal serial bus drives and wafers and components. Our broad portfolio of technology and products addresses multiple end markets of “Cloud,” “Client,” and “Consumer.”</w:t>
      </w:r>
    </w:p>
    <w:p>
      <w:pPr>
        <w:spacing w:after="0" w:line="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Through the Client end market, we provide our original equipment manufacturer (“OEM”)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 The Cloud end market is comprised primarily of products for public or private cloud environments and end customers.</w:t>
      </w:r>
    </w:p>
    <w:p>
      <w:pPr>
        <w:spacing w:after="0" w:line="7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of 52 weeks, with all quarters presented consisting of 13 weeks.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Separation of Business Units</w:t>
      </w:r>
    </w:p>
    <w:p>
      <w:pPr>
        <w:spacing w:after="0" w:line="121"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On October 30, 2023, WDC announced that its board of directors (“WDC Board of Directors”) authorized management to pursue a plan to separate the Company into an independent public company. The separation received final approval by the WDC Board of Directors and was completed on February 21, 2025.</w:t>
      </w:r>
    </w:p>
    <w:p>
      <w:pPr>
        <w:spacing w:after="0" w:line="68" w:lineRule="exact"/>
        <w:rPr>
          <w:sz w:val="20"/>
          <w:szCs w:val="20"/>
          <w:color w:val="auto"/>
        </w:rPr>
      </w:pPr>
    </w:p>
    <w:p>
      <w:pPr>
        <w:ind w:right="80" w:firstLine="486"/>
        <w:spacing w:after="0" w:line="274" w:lineRule="auto"/>
        <w:rPr>
          <w:sz w:val="20"/>
          <w:szCs w:val="20"/>
          <w:color w:val="auto"/>
        </w:rPr>
      </w:pPr>
      <w:r>
        <w:rPr>
          <w:rFonts w:ascii="Times New Roman" w:cs="Times New Roman" w:eastAsia="Times New Roman" w:hAnsi="Times New Roman"/>
          <w:sz w:val="17"/>
          <w:szCs w:val="17"/>
          <w:color w:val="auto"/>
        </w:rPr>
        <w:t>WDC executed the spin-off of the Company through WDC’s pro rata distribution of 80.1% of the outstanding shares of common stock of the Company to holders of WDC’s common stock as of the close of business on February 21, 2025. Each WDC stockholder received one-third (1/3) of a share of the Company’s common stock for each share of WDC’s common stock held by such WDC stockholder as of February 12, 2025, the record date of the distribution. Upon completion of the separation, WDC owned 19.9% of the outstanding shares of the Company’s common stock, which WDC is expected to retain for a period of up to 12 months following the distribution. Following the distribution, the Company became an independent publicly listed company, and on February 24, 2025, the Company began trading as an independent publicly traded company under the stock symbol “SNDK” on Nasdaq.</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SanDisk Semiconductor (Shanghai) Co. Ltd. (“SDSS”)</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xml:space="preserve"> of the Notes to the Condensed Combined Financial Statements included in this Quarterly Report on Form 10-Q, on September 28, 2024, our wholly-owned subsidiary, SanDisk China Limited (“SanDisk China”) completed the sale of 80% of its equity interest in SDSS to JCET Management Co., Ltd. (“JCET”), a wholly-owned subsidiary of JCET Group Co., Ltd., a Chinese publicly-listed company, thereby forming a venture between SanDisk China and JCET. The transaction resulted in a pre-tax gain of $34 million.</w:t>
      </w:r>
    </w:p>
    <w:p>
      <w:pPr>
        <w:spacing w:after="0" w:line="7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Subsequent to, and in connection with, the sale of SDSS, the Company entered into a five-year supply agreement with SDSS to purchase certain flash-based products with a minimum annual commitment of $550 million. As a result of this transaction, we expect to incur a modest reduction in annual operating expenses and a reduction in annual capital expenditures related to the assembly and testing of flash-based products. We also anticipate that the transition to a contract manufacturing model through SDSS will result in a small increase in our annual cost of revenue for flash-based products.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Sale-Leaseback</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has been allocated to us on a relative square footage basis. The property is being leased back to the Company at a total annual rate of $16 million for the first year and increasing by 3% per year thereafter through January 1, 2039. The lease includes three five-year renewal options and one four-year renewal option for the ability to extend through December 2057. The associated operating lease liability and right of use asset for this facility has been included in the Condensed Combined Balance Sheets as of December 27, 2024 and June 28, 2024. This facility is utilized in the Company’s operations, and the total lease expense has been allocated to the Company based on the continued usage of the facility.</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19"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Part I, Item 1,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of the Notes to the Condensed Combined Financial Statements included in this Quarterly Report on Form 10-Q, subsequent to the completion of the separation, the Company identified potential impairment indicators related to the trading price of the Company’s common stock and a resulting market capitalization that was below its December 27, 2024 net book value. In accordance with Accounting Standards Codification No. 350, Intangibles - Goodwill and Other, the Company initiated a quantitative analysis of potential impairment of goodwill and long-lived assets. That analysis is ongoing, and the Company believes it is more likely than not that it will record an impairment charge in the three months ended March 28, 2025.</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received financing from certain of WDC’s subsidiaries in the form of borrowings under revolving credit agreements and promissory notes to fund activities primarily related to Flash Ventures. Additional information regarding our outstanding notes due to (from) Parent is included in Part 1,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xml:space="preserve"> of the Notes to Condensed Combined Financial Statements included in this Quarterly Report on Form 10-Q.</w:t>
      </w:r>
    </w:p>
    <w:p>
      <w:pPr>
        <w:spacing w:after="0" w:line="7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Part I, Item 1,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of the Notes to the Condensed Combined Financial Statements included in this Quarterly Report on Form 10-Q, on February 21, 2025, the Company entered into a loan agreement comprised of a seven-year Term Loan B facility in an aggregate principal amount of $2.0 billion (the “Term Loan Facility”) and a five-year revolving credit facility (the “Revolving Credit Facility”) in an aggregate principal amount of $1.5 billion with $150 million for letters of credit.</w:t>
      </w:r>
    </w:p>
    <w:p>
      <w:pPr>
        <w:spacing w:after="0" w:line="74"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On February 21, 2025, the Company borrowed $2 billion under its Term Loan Facility. The Company used a portion of the proceeds of the borrowing to pay a dividend to WDC in the amount of approximately $1.5 billion, with the remainder to be used for general corporate purposes of the Company. The proceeds of the Revolving Credit Facility may be used by the Company for working capital and general corporate purposes.</w:t>
      </w:r>
    </w:p>
    <w:p>
      <w:pPr>
        <w:spacing w:after="0" w:line="68"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As of March 7, 2025, the date these financial statements were available to be issued, the Company has drawn no amounts under the Revolving Credit Facility.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During 2023 and the first half of 2024, macroeconomic factors such as inflation, changes in interest rates, and recession concerns softened demand of our products. As a result, we and our industry experienced a supply-demand imbalance, which resulted in reduced shipments and negatively impacted pricing during those periods. To adapt to these conditions, we implemented measures to reduce operating expenses and proactively manage supply and inventory to align with demand and improve our capital efficiency while continuing to deploy innovative products. These actions enabled us to scale back on capital expenditures, consolidate production lines, and reduce production, which resulted in incremental charges for employee termination and charges for unabsorbed manufacturing overhead costs due to the underutilization of facilities as we temporarily scaled back production.</w:t>
      </w:r>
    </w:p>
    <w:p>
      <w:pPr>
        <w:spacing w:after="0" w:line="7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the first half of the year, we saw an improvement in the supply and demand dynamic, leading to improved revenues. The increase in demand resulted in increased revenue and gross margin in the first quarter of 2025 from the comparable period in the prior year. Recently, we are experiencing what we believe is a mid-cycle slowdown. We expect to incur charges for unabsorbed manufacturing overhead costs as a result of the reduced utilization of our manufacturing capacity in the remainder of fiscal 2025 as we moderate production levels to align with demand for our products. We anticipate that digital transformation, including the artificial intelligence data-cycle, will drive improved market conditions in the long term for our data storage products.</w:t>
      </w:r>
    </w:p>
    <w:p>
      <w:pPr>
        <w:spacing w:after="0" w:line="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following discussion reflects the Company’s financial condition and results of operations as set forth in the unaudited Condensed Combined Financial Statements included in this Quarterly Report on Form 10-Q, which have been derived from Western Digital Corporation’s (“WDC”) historical accounting records and are presented on a stand-alone basis as if the Company’s operations had been conducted independently from WDC. The unaudited Condensed Combined Financial Statements have been prepared in accordance with U.S. generally accepted accounting principles (“GAAP”), by aggregating financial information from the components of the Company and WDC’s accounting records directly attributable to the Company.</w:t>
      </w:r>
    </w:p>
    <w:p>
      <w:pPr>
        <w:spacing w:after="0" w:line="7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The unaudited Condensed Combined Statements of Operations include all revenues and costs directly attributable to the Company, including costs for facilities, functions, and services used by the Company. The Company’s business has historically functioned together with the other businesses controlled by WDC. Accordingly, the Company relied on WDC’s corporate overhead and other support functions for its business. Therefore, certain corporate overhead and shared costs have been allocated to the Company including (i) certain general and administrative expenses related to WDC’s support functions that are provided on a centralized basis within WDC (e.g., expenses for corporate facilities, executive oversight, treasury, finance, legal, human resources, compliance, information technology, employee benefit plans, stock compensation plans and other corporate functions), and (ii) certain operations support costs incurred by WDC, including product sourcing, maintenance and support services, and other supply chain functions. These expenses have been specifically identified, when possible, or allocated based on revenues, headcount, usage or other allocation methods that are considered to be a reasonable reflection of the utilization of services provided or benefit received. While management considers that such allocations have been made on a reasonable basis consistent with benefits received, the Condensed Combined Financial Statements included in this Quarterly Report on Form 10-Q may not be indicative of our future performance, do not necessarily include the actual expenses that would have been incurred by us and may not reflect our results of operations, financial position, and cash flows had we been a separate, standalone company during the periods presented. For additional information, see Part I, Item 1,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Condensed Combined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486"/>
        <w:spacing w:after="0" w:line="283"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Combined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4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38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3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(234)</w:t>
            </w:r>
          </w:p>
        </w:tc>
        <w:tc>
          <w:tcPr>
            <w:tcW w:w="11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 (loss)</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445</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r>
      <w:tr>
        <w:trPr>
          <w:trHeight w:val="19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termination and other</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r>
      <w:tr>
        <w:trPr>
          <w:trHeight w:val="207"/>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38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3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24.4</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440</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(186)</w:t>
            </w:r>
          </w:p>
        </w:tc>
      </w:tr>
      <w:tr>
        <w:trPr>
          <w:trHeight w:val="207"/>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433</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38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3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28</w:t>
            </w: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2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2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3"/>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38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3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100.8</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(798)</w:t>
            </w:r>
          </w:p>
        </w:tc>
        <w:tc>
          <w:tcPr>
            <w:tcW w:w="11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 (loss)</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1,359</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5,033</w:t>
            </w:r>
          </w:p>
        </w:tc>
      </w:tr>
      <w:tr>
        <w:trPr>
          <w:trHeight w:val="19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Employee termination and other</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r>
      <w:tr>
        <w:trPr>
          <w:trHeight w:val="207"/>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38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3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22.1</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141</w:t>
            </w: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1,218</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(650)</w:t>
            </w:r>
          </w:p>
        </w:tc>
      </w:tr>
      <w:tr>
        <w:trPr>
          <w:trHeight w:val="207"/>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3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11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(109)</w:t>
            </w: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1,194</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r>
      <w:tr>
        <w:trPr>
          <w:trHeight w:val="213"/>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38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36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60</w:t>
            </w: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1,134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96"/>
        </w:trPr>
        <w:tc>
          <w:tcPr>
            <w:tcW w:w="222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8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Percentage may not total due to rounding.</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5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9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7"/>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Cloud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3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Client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r>
      <w:tr>
        <w:trPr>
          <w:trHeight w:val="227"/>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35"/>
        </w:trPr>
        <w:tc>
          <w:tcPr>
            <w:tcW w:w="5240" w:type="dxa"/>
            <w:vAlign w:val="bottom"/>
            <w:tcBorders>
              <w:bottom w:val="single" w:sz="8" w:color="CCEEFF"/>
            </w:tcBorders>
            <w:shd w:val="clear" w:color="auto" w:fill="CCEEFF"/>
          </w:tcPr>
          <w:p>
            <w:pPr>
              <w:jc w:val="center"/>
              <w:ind w:right="3559"/>
              <w:spacing w:after="0"/>
              <w:rPr>
                <w:sz w:val="20"/>
                <w:szCs w:val="20"/>
                <w:color w:val="auto"/>
              </w:rPr>
            </w:pPr>
            <w:r>
              <w:rPr>
                <w:rFonts w:ascii="Times New Roman" w:cs="Times New Roman" w:eastAsia="Times New Roman" w:hAnsi="Times New Roman"/>
                <w:sz w:val="16"/>
                <w:szCs w:val="16"/>
                <w:color w:val="auto"/>
                <w:w w:val="99"/>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240" w:type="dxa"/>
            <w:vAlign w:val="bottom"/>
            <w:shd w:val="clear" w:color="auto" w:fill="CCEEFF"/>
          </w:tcPr>
          <w:p>
            <w:pPr>
              <w:jc w:val="center"/>
              <w:ind w:right="3619"/>
              <w:spacing w:after="0"/>
              <w:rPr>
                <w:sz w:val="20"/>
                <w:szCs w:val="20"/>
                <w:color w:val="auto"/>
              </w:rPr>
            </w:pPr>
            <w:r>
              <w:rPr>
                <w:rFonts w:ascii="Times New Roman" w:cs="Times New Roman" w:eastAsia="Times New Roman" w:hAnsi="Times New Roman"/>
                <w:sz w:val="16"/>
                <w:szCs w:val="16"/>
                <w:color w:val="auto"/>
              </w:rPr>
              <w:t>Revenue by geography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Asia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r>
      <w:tr>
        <w:trPr>
          <w:trHeight w:val="21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3"/>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34"/>
        </w:trPr>
        <w:tc>
          <w:tcPr>
            <w:tcW w:w="5240" w:type="dxa"/>
            <w:vAlign w:val="bottom"/>
            <w:tcBorders>
              <w:bottom w:val="single" w:sz="8" w:color="CCEEFF"/>
            </w:tcBorders>
            <w:shd w:val="clear" w:color="auto" w:fill="CCEEFF"/>
          </w:tcPr>
          <w:p>
            <w:pPr>
              <w:jc w:val="center"/>
              <w:ind w:right="3559"/>
              <w:spacing w:after="0"/>
              <w:rPr>
                <w:sz w:val="20"/>
                <w:szCs w:val="20"/>
                <w:color w:val="auto"/>
              </w:rPr>
            </w:pPr>
            <w:r>
              <w:rPr>
                <w:rFonts w:ascii="Times New Roman" w:cs="Times New Roman" w:eastAsia="Times New Roman" w:hAnsi="Times New Roman"/>
                <w:sz w:val="16"/>
                <w:szCs w:val="16"/>
                <w:color w:val="auto"/>
                <w:w w:val="99"/>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-1782445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-1782445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addresses multiple end markets. Cloud represents a large and growing end market comprised primarily of products for public or private cloud environments and enterprise customers. Through the Client end market, the Company provides its OEM and channel customers a broad array of high-performance flash solutions across personal computer, mobile, gaming, automotive, virtual reality headset,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Net revenue increased 13% in the three months ended December 27, 2024 from the comparable period in the prior year, primarily due to a 14% increase in average selling prices (“ASP”) per gigabyte attributed to improved pricing as the supply-demand balance improved, partially offset by a 2% decrease in exabytes sold driven by softer demand in the Client and Consumer end markets.</w:t>
      </w:r>
    </w:p>
    <w:p>
      <w:pPr>
        <w:spacing w:after="0" w:line="6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Net revenue increased 18% in the six months ended December 27, 2024 from the comparable period in the prior year, primarily driven due to a 26% increase ASP per gigabyte attributed to improved pricing as the supply-demand balance improved, partially offset by a 7% decrease in exabytes sold driven by softer demand in the Client and Consumer end markets.</w:t>
      </w:r>
    </w:p>
    <w:p>
      <w:pPr>
        <w:spacing w:after="0" w:line="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Cloud revenue increased 525% in the three months ended December 27, 2024 from the comparable period in the prior year, primarily due to a 305% increase in exabytes sold, primarily attributable to increased enterprise SSD shipments to data center customers, coupled with a 57% increase in ASP per gigabyte due to improved pricing as the supply-demand balance improved. Cloud revenue increased 848% in the six months ended December 27, 2024 from the comparable period in the prior year, primarily due to a 571% increase in exabytes sold and a 31% increase in ASP per gigabyte due to the supply-demand balance recovery and improved pricing.</w:t>
      </w:r>
    </w:p>
    <w:p>
      <w:pPr>
        <w:spacing w:after="0" w:line="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Client revenue increased 6% in the three months ended December 27, 2024 from the comparable period in the prior year, primarily due to a 22% increase in ASP per gigabyte due to improved pricing as the supply-demand balance improved, partially offset by a 14% decrease in exabytes sold primarily due to a drop in demand. Client revenue increased 7% in the six months ended December 27, 2024 from the comparable period in the prior year primarily due to a 37% increase in ASP per gigabyte due to improved pricing as the supply-demand balance improved, partially offset by a 22% decrease in exabytes sold primarily due to a drop in demand.</w:t>
      </w:r>
    </w:p>
    <w:p>
      <w:pPr>
        <w:spacing w:after="0" w:line="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Consumer revenue decreased 9% in the three months ended December 27, 2024 from the comparable period in the prior year, primarily due to a 5% decrease in ASP per gigabyte and a 4% decrease in exabytes sold driven by softer demand. Consumer revenue decreased 5% in the six months ended December 27, 2024 from the comparable period in the prior year, primarily due to a 8% decrease in exabytes sold due to softer demand, partially offset by a 2% increase in ASP per gigabyte.</w:t>
      </w:r>
    </w:p>
    <w:p>
      <w:pPr>
        <w:spacing w:after="0" w:line="72"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changes in net revenue by geography in the three and six months ended December 27, 2024 from the comparable period in the prior year primarily reflected higher revenue in the Americas region from Cloud customers.</w:t>
      </w:r>
    </w:p>
    <w:p>
      <w:pPr>
        <w:spacing w:after="0" w:line="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Consistent with standard industry practice, we offer sales incentive and marketing programs that provide customers with price protection and other incentives or reimbursements that are recorded as a reduction to gross revenue. For the three months ended December 27, 2024 and December 29, 2023, these programs represented 22% of gross revenues. For the six months ended December 27, 2024 and December 29, 2023, these programs represented 19% and 23%,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Gross profit increased $445 million and $1,359 million, respectively, for the three and six months ended December 27, 2024 from the comparable period in the prior year, primarily due to improved pricing, favorable product mix, and prior year charges for unabsorbed manufacturing overhead costs as a result of the reduced utilization of our manufacturing capacity of $107 million and $249 million, respectively, which were not incurred in the current period.</w:t>
      </w:r>
    </w:p>
    <w:p>
      <w:pPr>
        <w:spacing w:after="0" w:line="7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Gross profit margin increased by 23% and 36%, respectively, for the three and six months ended December 27, 2024 from the comparable period in the prior year, primarily due to improved pricing, favorable product mix, and a prior year charge for unabsorbed manufacturing overhead costs as a result of the reduced utilization of our manufacturing capacity representing 6% and 8%, respectively, which were not incurred in the current period.</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 increased $33 million in the three months ended December 27, 2024 from the comparable period in the prior year, primarily due to a $16 million increase in compensation and benefits due to higher variable compensation and increased headcount, a $7 million increase in material purchases, and increases in spending for R&amp;D projects as we continue to invest in innovation. R&amp;D expense increased by $76 million in the six months ended December 27, 2024 from the comparable period in the prior year, primarily due to a $42 million increase in compensation and benefits due to higher variable compensation and increased headcount, a $16 million increase in material purchases, and increases in spending for R&amp;D projects as we continue to invest in innovation.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$29 million in the three months ended December 27, 2024 from the comparable period in the prior year, primarily due to a $19 million increase in compensation and benefits due to higher variable compensation and increased headcount and a $6 million increase in legal fees. Selling, general and administrative expense increased by $41 million in the six months ended December 27, 2024 from the comparable period in the prior year, primarily due to a $27 million increase in compensation and benefits due to higher variable compensation and increased headcount and a $13 million increase in materials purchases.</w:t>
      </w:r>
    </w:p>
    <w:p>
      <w:pPr>
        <w:spacing w:after="0" w:line="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Employee termination and other charges decreased $10 million in the three months ended December 27, 2024 from the comparable period in the prior year, primarily due to fewer restructuring actions taken in the current period. Employee termination and other charges increased $51 million in the six months ended December 27, 2024 from the comparable period in the prior year, primarily due a $60 million gain on the sale-leaseback of a facility in the prior period. For additional information regarding employee termination and other charges, see Part I, Item 1, Note 13, </w:t>
      </w:r>
      <w:r>
        <w:rPr>
          <w:rFonts w:ascii="Times New Roman" w:cs="Times New Roman" w:eastAsia="Times New Roman" w:hAnsi="Times New Roman"/>
          <w:sz w:val="18"/>
          <w:szCs w:val="18"/>
          <w:i w:val="1"/>
          <w:iCs w:val="1"/>
          <w:color w:val="auto"/>
        </w:rPr>
        <w:t>Employee Termination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Charges </w:t>
      </w:r>
      <w:r>
        <w:rPr>
          <w:rFonts w:ascii="Times New Roman" w:cs="Times New Roman" w:eastAsia="Times New Roman" w:hAnsi="Times New Roman"/>
          <w:sz w:val="18"/>
          <w:szCs w:val="18"/>
          <w:color w:val="auto"/>
        </w:rPr>
        <w:t>of the Notes to Condensed Combined Financial Statements included in this Quarterly Report on Form 10-Q.</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Interest and other expense, net increased $7 million in the three months ended December 27, 2024 from the comparable period in the prior year, primarily due to an $11 million increase in losses on our equity investments and a $7 million increase in foreign exchange losses, partially offset by a $7 million decrease in interest expense on borrowings due to WDC and $4 million in interest income arising from the accretion of the present value discount on the outstanding SDSS consideration receivable.</w:t>
      </w:r>
    </w:p>
    <w:p>
      <w:pPr>
        <w:spacing w:after="0" w:line="7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Interest and other expense, net increased $24 million in the six months ended December 27, 2024 from the comparable period in the prior year, primarily due to a $25 million increase in foreign exchange losses and a $20 million increase in losses on our equity investments, partially offset by a $16 million decrease in interest expense on borrowings due to WDC and $4 million in interest income arising from the accretion of the present value discount on the outstanding SDSS consideration receivable.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Tax Cuts and Jobs Act (the “2017 Act”) requires the Company to capitalize and amortize R&amp;D expenses rather than expensing them in the year incurred. The tax effects related to the capitalization of R&amp;D expenses are included in our effective tax rate for the three and six months ended December 27, 2024 and December 29, 2023. The tax effects related to the capitalization of R&amp;D expenses had a material impact on our effective tax rate for the three and six months ended December 27, 2024 but did not have a material impact on the effective tax rate for the three and six months ended December 29, 2023.</w:t>
      </w:r>
    </w:p>
    <w:p>
      <w:pPr>
        <w:spacing w:after="0" w:line="7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corporate alternative minimum tax was effective for us beginning with fiscal year 2024. We do not expect to be subject to the CAMT of 15% for fiscal year 2025 as our average annual AFSI did not exceed $1.0 billion for the preceding three-year period.</w:t>
      </w:r>
    </w:p>
    <w:p>
      <w:pPr>
        <w:spacing w:after="0" w:line="75" w:lineRule="exact"/>
        <w:rPr>
          <w:sz w:val="20"/>
          <w:szCs w:val="20"/>
          <w:color w:val="auto"/>
        </w:rPr>
      </w:pPr>
    </w:p>
    <w:p>
      <w:pPr>
        <w:ind w:right="180" w:firstLine="486"/>
        <w:spacing w:after="0" w:line="277" w:lineRule="auto"/>
        <w:rPr>
          <w:sz w:val="20"/>
          <w:szCs w:val="20"/>
          <w:color w:val="auto"/>
        </w:rPr>
      </w:pPr>
      <w:r>
        <w:rPr>
          <w:rFonts w:ascii="Times New Roman" w:cs="Times New Roman" w:eastAsia="Times New Roman" w:hAnsi="Times New Roman"/>
          <w:sz w:val="17"/>
          <w:szCs w:val="17"/>
          <w:color w:val="auto"/>
        </w:rPr>
        <w:t>On December 20, 2021, the Organization for Economic Co-operation and Development 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the Pillar Two, some of which are effective for the Company in fiscal year 2025. For fiscal year 2025, we currently expect to be able to meet certain transitional safe harbors and do not expect any material Pillar Two taxes. As more jurisdictions adopt this legislation in fiscal year 2026, there may be material increases in our future tax obligations in certain jurisdictions.</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02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9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December 29, 2023</w:t>
            </w:r>
          </w:p>
        </w:tc>
        <w:tc>
          <w:tcPr>
            <w:tcW w:w="1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10"/>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4"/>
          </w:tcPr>
          <w:p>
            <w:pPr>
              <w:jc w:val="right"/>
              <w:ind w:right="11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(754)</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relative mix of earnings and losses by jurisdiction, the deduction for foreign-derived intangible income, credits and tax holidays in Malaysia that have or will expire at various dates during years 2025 through 2031 resulted in decreases to the effective tax rate below the U.S. statutory rate for the three and six months ended December 27, 2024. However, the tax effects of the mandatory capitalization of R&amp;D expenses offset these decreases, resulting in the effective tax rate being closer to the U.S. Federal statutory rate for the three and six months ended December 27, 2024.</w:t>
      </w:r>
    </w:p>
    <w:p>
      <w:pPr>
        <w:spacing w:after="0" w:line="70" w:lineRule="exact"/>
        <w:rPr>
          <w:sz w:val="20"/>
          <w:szCs w:val="20"/>
          <w:color w:val="auto"/>
        </w:rPr>
      </w:pPr>
    </w:p>
    <w:p>
      <w:pPr>
        <w:jc w:val="both"/>
        <w:ind w:right="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see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in the Notes to the Condensed Combined Financial Statements included in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Condensed Combined Statements of Cash Flows of December 27, 2024 and December 29,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00" w:type="dxa"/>
            <w:vAlign w:val="bottom"/>
            <w:tcBorders>
              <w:bottom w:val="single" w:sz="8" w:color="auto"/>
            </w:tcBorders>
          </w:tcPr>
          <w:p>
            <w:pPr>
              <w:spacing w:after="0"/>
              <w:rPr>
                <w:sz w:val="18"/>
                <w:szCs w:val="18"/>
                <w:color w:val="auto"/>
              </w:rPr>
            </w:pPr>
          </w:p>
        </w:tc>
      </w:tr>
      <w:tr>
        <w:trPr>
          <w:trHeight w:val="211"/>
        </w:trPr>
        <w:tc>
          <w:tcPr>
            <w:tcW w:w="8280" w:type="dxa"/>
            <w:vAlign w:val="bottom"/>
          </w:tcPr>
          <w:p>
            <w:pPr>
              <w:spacing w:after="0"/>
              <w:rPr>
                <w:sz w:val="18"/>
                <w:szCs w:val="18"/>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09"/>
        </w:trPr>
        <w:tc>
          <w:tcPr>
            <w:tcW w:w="8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60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
        </w:trPr>
        <w:tc>
          <w:tcPr>
            <w:tcW w:w="8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As noted previously, we have been scaling back on capital expenditures, consolidating production lines and reducing bit growth to align with market demand. We continue to be cautious in our capital investment and expect our cash capital expenditures in 2025 to be higher than in 2024, but remain below 2023 expenditures.</w:t>
      </w:r>
    </w:p>
    <w:p>
      <w:pPr>
        <w:spacing w:after="0" w:line="6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believe our cash and cash equivalents, as discussed in “Key Developments—Financing Activities” above, will be sufficient to meet our working capital needs for at least the next twelve months and for the foreseeable future thereafter. We believe we can also access the various capital markets to further supplement our liquidity position if necessary. Our ability to sustain our working capital position is subject to a number of risks that we discuss under the heading “Risk Factors” included in the Form 10.</w:t>
      </w:r>
    </w:p>
    <w:p>
      <w:pPr>
        <w:spacing w:after="0" w:line="7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 total of $692 million and $321 million of our cash and cash equivalents were held outside of the U.S. as of December 27, 2024 and June 28, 2024 respectively. There are no material tax consequences that were not previously accrued for on the repatriation of this cash.</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primarily consists of net income or loss, adjusted for non-cash charges, plus or minus changes in operating assets and liabilities. Net cash used as a result of changes in operating assets and liabilities was $487 million in the six months ended December 27, 2024, as compared to $449 million net cash provided in the six months ended December 29, 2023, reflecting an increase in the volume of our business, as discussed above.</w:t>
      </w:r>
    </w:p>
    <w:p>
      <w:pPr>
        <w:spacing w:after="0" w:line="7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Changes in our operating assets and liabilities are largely affected by our working capital requirements, which are dependent on the volume of our business and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2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 outstanding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or DSO, are generally due to the timing of shipments. Changes in days in inventory, or DIO, are generally related to the timing of inventory builds. Changes in days payables outstanding, or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27, 2024, DSO increased 7 days over the three months ended December 29, 2023, reflecting lower accounts receivable factoring and the timing of shipments and customer collections. During the three months ended December 27, 2024, DIO increased 58 days over the three months ended December 29, 2023, primarily reflecting lower consumption of inventory in the current period. DPO increased 10 days over the comparable period in the prior year, primarily due to routine variations in the timing of purchases and payments during the period.</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in the six months ended December 27, 2024 primarily consisted of $191 million in net proceeds from our sale of a majority interest in one of our subsidiaries and $92 million in net proceeds from activity related to Flash Ventures, partially offset by $115 million in capital expenditures. Net cash provided by investing activities in the six months ended December 29, 2023 primarily consisted of $134 million of proceeds from the sale-leaseback of our Milpitas, California facility and $79 million in net proceeds from activity related to Flash Ventures, partially offset by $99 million in capital expenditures.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the six months ended December 27, 2024 primarily consisted of $550 million in proceeds from borrowings on notes due to WDC and $101 million in proceeds from repayments on notes due from WDC, partially offset by $231 million transferred from WDC and $76 million in net repayments on notes due to WDC. Net cash provided by financing activities in the six months ended December 29, 2023 primarily consisted of $274 million net transfers from WDC, partially offset by $74 million in origination of notes due from WDC and $14 million in net repayments on notes due to WDC.</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 xml:space="preserve">Other than the Flash Ventures-related commitments incurred in the normal course of business and certain indemnification provisions (see “Short-and Long-term Liquidity - Purchase Obligations and Other Commitments” below), we do not have any other material off-balance sheet financing arrangements or liabilities, guarantee contracts, retained or contingent interests in transferred assets, or any other obligations arising out of a material variable interest in an unconsolidated entity. We do not have any majority-owned subsidiaries that are not included in the Condensed Combined Financial Statements. Additionally, with the exception of Flash Ventures, our venture with SDSS, and our venture with Unisplendour Corporation Limited and Unissoft (Wuxi) Group Co. Ltd., we do not have an interest in, or relationships with, any variable interest entities. For additional information regarding our off-balance sheet arrangements, see Part I, Item I,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the Condensed Combined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Short-and-Long-term Liquidity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as of December 27, 2024</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our known material cash requirements, including those for capital expenditures, as of December 27,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Remaining Six</w:t>
            </w:r>
          </w:p>
        </w:tc>
        <w:tc>
          <w:tcPr>
            <w:tcW w:w="100" w:type="dxa"/>
            <w:vAlign w:val="bottom"/>
          </w:tcPr>
          <w:p>
            <w:pPr>
              <w:spacing w:after="0"/>
              <w:rPr>
                <w:sz w:val="16"/>
                <w:szCs w:val="16"/>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2-3 Years (2026-</w:t>
            </w:r>
          </w:p>
        </w:tc>
        <w:tc>
          <w:tcPr>
            <w:tcW w:w="100" w:type="dxa"/>
            <w:vAlign w:val="bottom"/>
          </w:tcPr>
          <w:p>
            <w:pPr>
              <w:spacing w:after="0"/>
              <w:rPr>
                <w:sz w:val="16"/>
                <w:szCs w:val="16"/>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4-5 Years (2028-</w:t>
            </w:r>
          </w:p>
        </w:tc>
        <w:tc>
          <w:tcPr>
            <w:tcW w:w="12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Years (Beyond</w:t>
            </w: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Months of 2025</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2029)</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i w:val="1"/>
                <w:iCs w:val="1"/>
                <w:color w:val="auto"/>
                <w:w w:val="99"/>
              </w:rPr>
              <w:t>(in millions)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7"/>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7,660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140" w:firstLine="8"/>
        <w:spacing w:after="0" w:line="263" w:lineRule="auto"/>
        <w:tabs>
          <w:tab w:leader="none" w:pos="16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reimbursement for depreciation and lease payments on owned and committed equipment, funding commitments for loans and equity investments and payments for other committed expenses, including research and development and building depreciation. Funding commitments assume no additional operating lease guarantees. Additional operating lease guarantees can reduce funding commitments.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Notes due to Parent of $553 million are expected to be settled on or before the effectiveness of the spin-off.</w:t>
      </w:r>
    </w:p>
    <w:p>
      <w:pPr>
        <w:spacing w:after="0" w:line="115"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Part 1, Item 1,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of the Notes to the Condensed Combined Financial Statements included in this Quarterly Report on Form 10-Q for information regarding the Loan Agreement, including the Revolving Credit Facility, entered into on February 21, 2025.</w:t>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Flash Ventures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December 27, 2024, and as of June 28, 2024,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the Condensed Combined Financial Statements included in this Quarterly Report on Form 10-Q for information regarding Flash Ventures.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 and Other Commitments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December 27, 2024, our liability for unrecognized tax benefits (excluding accrued interest and penalties) was approximately $60 million. Accrued interest and penalties included in the Company’s liability related to unrecognized tax benefits as of December 27, 2024 and June 28, 2024 was $6 million and $9 million, respectively. Of these amounts, approximately $66 million could result in potential cash payments.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121"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included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7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Combined Financial Statements included in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Combined Financial Statements in accordance with accounting principles generally accepted in the United States. The preparation of the financial statements requires the use of judgments and estimates that affect the reported amounts of revenues, expenses, assets, liabilities and WDC’s net investment. We have adopted accounting policies and practices that are generally accepted in the industry in which we operate. If these estimates differ significantly from actual results, the impact to the Condensed Combined Financial Statements may be material.</w:t>
      </w:r>
    </w:p>
    <w:p>
      <w:pPr>
        <w:spacing w:after="0" w:line="7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Registration Statement on Form 10, filed with the Securities and Exchange Commission for the year ended June 28,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w:t>
      </w:r>
    </w:p>
    <w:p>
      <w:pPr>
        <w:spacing w:after="0" w:line="75"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We have performed sensitivity analyses as of December 27, 2024,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December 27, 2024. The sensitivity analyses indicated that a hypothetical 10% adverse movement in foreign currency exchange rates relative to the U.S. dollar would result in a foreign exchange fair value loss of $165 million at December 27, 2024.</w:t>
      </w:r>
    </w:p>
    <w:p>
      <w:pPr>
        <w:spacing w:after="0" w:line="7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Notwithstanding our efforts to mitigate some foreign exchange risks, we do not hedge all of our foreign currency exposures, and there can be no assurance that our mitigating activities related to the exposures that we do hedge will adequately protect us against risks associated with foreign currency fluctuations.</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w:t>
      </w:r>
      <w:r>
        <w:rPr>
          <w:rFonts w:ascii="Times New Roman" w:cs="Times New Roman" w:eastAsia="Times New Roman" w:hAnsi="Times New Roman"/>
          <w:sz w:val="18"/>
          <w:szCs w:val="18"/>
          <w:i w:val="1"/>
          <w:iCs w:val="1"/>
          <w:color w:val="auto"/>
        </w:rPr>
        <w:t>s</w:t>
      </w:r>
    </w:p>
    <w:p>
      <w:pPr>
        <w:spacing w:after="0" w:line="121"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U.S.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11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June 27, 2025. As a result, this Quarterly Report on Form 10-Q does not address whether there have been any changes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other than ordinary routine litigation incidental to the company, to which we or any of our subsidiaries is a party or of which any of our or our subsidiaries’ property is subject.</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have described under the heading “Risk Factors” included in the Information Statement filed as Exhibit 99.1 to our Form 10, filed with the Securities and Exchange Commission on November 25, 2024 and as further amended thereafter and declared effective on January 31, 2025 (as amended, the “Form 10”) for the year ended June 28, 2024 a number of risks and uncertainties that could cause our actual results of operations and financial condition to vary materially from past, or from anticipated future, results of operations and financial condition. Except as discussed below, there have been no material changes from these risk factors previously described in our Form 10 for the year ended June 28, 2024.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77"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material impairments in the value of our goodwill, intangible assets and other long-lived assets would negatively affect our operating results.</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regularly review our goodwill and property, plant and equipment for potential impairment. Goodwill and indefinite-lived intangible assets are subject to impairment reviews on an annual basis, or more frequently if events or changes in circumstances indicate that goodwill may be impaired. The Company uses qualitative factors to determine whether goodwill is more-likely-than-not impaired and whether a quantitative test for impairment is considered necessary. If the Company concludes from the qualitative assessment that goodwill is more-likely-than-not-impaired, the Company is required to perform a quantitative analysis to determine the amount of impairment. Subsequent to the completion of the separation, the Company identified potential impairment indicators related to the trading price of the Company’s common stock and a resulting market capitalization that was below its December 27, 2024 net book value. In accordance with Accounting Standards Codification No. 350, Intangibles - Goodwill and Other, the Company initiated a quantitative analysis of potential impairment of goodwill and long-lived assets. That analysis is ongoing, and the Company believes it is more likely that not that it will record an impairment charge in the three months ended March 28, 2025. Further adverse changes to macroeconomic conditions or our estimates of the fair value of our reporting unit could impact the amount of any impairment charges or lead to additional impairment charges. Material impairment charges would negatively affect our results of operations.</w:t>
      </w:r>
    </w:p>
    <w:p>
      <w:pPr>
        <w:spacing w:after="0" w:line="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89"/>
        </w:trPr>
        <w:tc>
          <w:tcPr>
            <w:tcW w:w="98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220" w:type="dxa"/>
            <w:vAlign w:val="bottom"/>
            <w:vMerge w:val="restart"/>
          </w:tcPr>
          <w:p>
            <w:pPr>
              <w:ind w:left="47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980" w:type="dxa"/>
            <w:vAlign w:val="bottom"/>
            <w:tcBorders>
              <w:bottom w:val="single" w:sz="8" w:color="CCEEFF"/>
            </w:tcBorders>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80" w:type="dxa"/>
            <w:vAlign w:val="bottom"/>
            <w:gridSpan w:val="5"/>
            <w:shd w:val="clear" w:color="auto" w:fill="CCEEFF"/>
          </w:tcPr>
          <w:p>
            <w:pPr>
              <w:jc w:val="center"/>
              <w:ind w:left="248"/>
              <w:spacing w:after="0" w:line="110" w:lineRule="exact"/>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2.</w:t>
              </w:r>
              <w:r>
                <w:rPr>
                  <w:rFonts w:ascii="Times New Roman" w:cs="Times New Roman" w:eastAsia="Times New Roman" w:hAnsi="Times New Roman"/>
                  <w:sz w:val="12"/>
                  <w:szCs w:val="12"/>
                  <w:u w:val="single" w:color="auto"/>
                  <w:color w:val="0000FF"/>
                </w:rPr>
                <w:t>1</w:t>
              </w:r>
            </w:hyperlink>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Separation and Distribution Agreement, dated as of February 21, 2025, by and between Western Digital Corporation and Sandisk Corporation (Filed as Exhibit 2.1 to the</w:t>
            </w:r>
          </w:p>
        </w:tc>
        <w:tc>
          <w:tcPr>
            <w:tcW w:w="0" w:type="dxa"/>
            <w:vAlign w:val="bottom"/>
          </w:tcPr>
          <w:p>
            <w:pPr>
              <w:spacing w:after="0"/>
              <w:rPr>
                <w:sz w:val="1"/>
                <w:szCs w:val="1"/>
                <w:color w:val="auto"/>
              </w:rPr>
            </w:pPr>
          </w:p>
        </w:tc>
      </w:tr>
      <w:tr>
        <w:trPr>
          <w:trHeight w:val="183"/>
        </w:trPr>
        <w:tc>
          <w:tcPr>
            <w:tcW w:w="2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Current Report on Form 8-K with the Securities and Exchange Commission on February 24, 2025)#</w:t>
            </w:r>
          </w:p>
        </w:tc>
        <w:tc>
          <w:tcPr>
            <w:tcW w:w="0" w:type="dxa"/>
            <w:vAlign w:val="bottom"/>
          </w:tcPr>
          <w:p>
            <w:pPr>
              <w:spacing w:after="0"/>
              <w:rPr>
                <w:sz w:val="1"/>
                <w:szCs w:val="1"/>
                <w:color w:val="auto"/>
              </w:rPr>
            </w:pPr>
          </w:p>
        </w:tc>
      </w:tr>
      <w:tr>
        <w:trPr>
          <w:trHeight w:val="149"/>
        </w:trPr>
        <w:tc>
          <w:tcPr>
            <w:tcW w:w="580" w:type="dxa"/>
            <w:vAlign w:val="bottom"/>
            <w:gridSpan w:val="5"/>
          </w:tcPr>
          <w:p>
            <w:pPr>
              <w:jc w:val="center"/>
              <w:ind w:left="248"/>
              <w:spacing w:after="0" w:line="149"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Amended and Restated Certificate of Incorporation of the Sandisk Corporation dated as of January 28, 2025 (Filed as Exhibit 3.1 to the Company’s Current Report on Form 8-K</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the Securities and Exchange Commission on February 24, 2025)#</w:t>
            </w:r>
          </w:p>
        </w:tc>
        <w:tc>
          <w:tcPr>
            <w:tcW w:w="0" w:type="dxa"/>
            <w:vAlign w:val="bottom"/>
          </w:tcPr>
          <w:p>
            <w:pPr>
              <w:spacing w:after="0"/>
              <w:rPr>
                <w:sz w:val="1"/>
                <w:szCs w:val="1"/>
                <w:color w:val="auto"/>
              </w:rPr>
            </w:pPr>
          </w:p>
        </w:tc>
      </w:tr>
      <w:tr>
        <w:trPr>
          <w:trHeight w:val="149"/>
        </w:trPr>
        <w:tc>
          <w:tcPr>
            <w:tcW w:w="580" w:type="dxa"/>
            <w:vAlign w:val="bottom"/>
            <w:gridSpan w:val="5"/>
            <w:shd w:val="clear" w:color="auto" w:fill="CCEEFF"/>
          </w:tcPr>
          <w:p>
            <w:pPr>
              <w:jc w:val="center"/>
              <w:ind w:left="248"/>
              <w:spacing w:after="0" w:line="14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Amended and Restated Bylaws of the Company (Filed as Exhibit 3.1 to the Company’s Current Report on Form 8-K with the Securities and Exchange Commission on February</w:t>
            </w:r>
          </w:p>
        </w:tc>
        <w:tc>
          <w:tcPr>
            <w:tcW w:w="0" w:type="dxa"/>
            <w:vAlign w:val="bottom"/>
          </w:tcPr>
          <w:p>
            <w:pPr>
              <w:spacing w:after="0"/>
              <w:rPr>
                <w:sz w:val="1"/>
                <w:szCs w:val="1"/>
                <w:color w:val="auto"/>
              </w:rPr>
            </w:pPr>
          </w:p>
        </w:tc>
      </w:tr>
      <w:tr>
        <w:trPr>
          <w:trHeight w:val="169"/>
        </w:trPr>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 2025)#</w:t>
            </w:r>
          </w:p>
        </w:tc>
        <w:tc>
          <w:tcPr>
            <w:tcW w:w="0" w:type="dxa"/>
            <w:vAlign w:val="bottom"/>
          </w:tcPr>
          <w:p>
            <w:pPr>
              <w:spacing w:after="0"/>
              <w:rPr>
                <w:sz w:val="1"/>
                <w:szCs w:val="1"/>
                <w:color w:val="auto"/>
              </w:rPr>
            </w:pPr>
          </w:p>
        </w:tc>
      </w:tr>
      <w:tr>
        <w:trPr>
          <w:trHeight w:val="149"/>
        </w:trPr>
        <w:tc>
          <w:tcPr>
            <w:tcW w:w="600" w:type="dxa"/>
            <w:vAlign w:val="bottom"/>
            <w:gridSpan w:val="6"/>
          </w:tcPr>
          <w:p>
            <w:pPr>
              <w:jc w:val="center"/>
              <w:ind w:left="228"/>
              <w:spacing w:after="0" w:line="149"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Transition Services Agreement, dated as of February 21, 2025, by and between Western Digital Corporation and Sandisk Corporation (Filed as Exhibit 10.1 to the Company’s</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with the Securities and Exchange Commission on February 24, 2025)#</w:t>
            </w:r>
          </w:p>
        </w:tc>
        <w:tc>
          <w:tcPr>
            <w:tcW w:w="0" w:type="dxa"/>
            <w:vAlign w:val="bottom"/>
          </w:tcPr>
          <w:p>
            <w:pPr>
              <w:spacing w:after="0"/>
              <w:rPr>
                <w:sz w:val="1"/>
                <w:szCs w:val="1"/>
                <w:color w:val="auto"/>
              </w:rPr>
            </w:pPr>
          </w:p>
        </w:tc>
      </w:tr>
      <w:tr>
        <w:trPr>
          <w:trHeight w:val="149"/>
        </w:trPr>
        <w:tc>
          <w:tcPr>
            <w:tcW w:w="600" w:type="dxa"/>
            <w:vAlign w:val="bottom"/>
            <w:gridSpan w:val="6"/>
            <w:shd w:val="clear" w:color="auto" w:fill="CCEEFF"/>
          </w:tcPr>
          <w:p>
            <w:pPr>
              <w:jc w:val="center"/>
              <w:ind w:left="228"/>
              <w:spacing w:after="0" w:line="149"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380" w:type="dxa"/>
            <w:vAlign w:val="bottom"/>
            <w:shd w:val="clear" w:color="auto" w:fill="CCEEFF"/>
          </w:tcPr>
          <w:p>
            <w:pPr>
              <w:spacing w:after="0"/>
              <w:rPr>
                <w:sz w:val="12"/>
                <w:szCs w:val="12"/>
                <w:color w:val="auto"/>
              </w:rPr>
            </w:pPr>
          </w:p>
        </w:tc>
        <w:tc>
          <w:tcPr>
            <w:tcW w:w="10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Tax Matters Agreement, dated as of February 21, 2025, by and between Western Digital Corporation and Sandisk Corporation (Filed as Exhibit 10.2 to the Company’s Current</w:t>
            </w:r>
          </w:p>
        </w:tc>
        <w:tc>
          <w:tcPr>
            <w:tcW w:w="0" w:type="dxa"/>
            <w:vAlign w:val="bottom"/>
          </w:tcPr>
          <w:p>
            <w:pPr>
              <w:spacing w:after="0"/>
              <w:rPr>
                <w:sz w:val="1"/>
                <w:szCs w:val="1"/>
                <w:color w:val="auto"/>
              </w:rPr>
            </w:pPr>
          </w:p>
        </w:tc>
      </w:tr>
      <w:tr>
        <w:trPr>
          <w:trHeight w:val="169"/>
        </w:trPr>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 on Form 8-K with the Securities and Exchange Commission on February 24, 2025)#</w:t>
            </w:r>
          </w:p>
        </w:tc>
        <w:tc>
          <w:tcPr>
            <w:tcW w:w="0" w:type="dxa"/>
            <w:vAlign w:val="bottom"/>
          </w:tcPr>
          <w:p>
            <w:pPr>
              <w:spacing w:after="0"/>
              <w:rPr>
                <w:sz w:val="1"/>
                <w:szCs w:val="1"/>
                <w:color w:val="auto"/>
              </w:rPr>
            </w:pPr>
          </w:p>
        </w:tc>
      </w:tr>
      <w:tr>
        <w:trPr>
          <w:trHeight w:val="148"/>
        </w:trPr>
        <w:tc>
          <w:tcPr>
            <w:tcW w:w="600" w:type="dxa"/>
            <w:vAlign w:val="bottom"/>
            <w:gridSpan w:val="6"/>
          </w:tcPr>
          <w:p>
            <w:pPr>
              <w:jc w:val="center"/>
              <w:ind w:left="228"/>
              <w:spacing w:after="0" w:line="14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Matters Agreement, dated as of February 21, 2025, by and between Western Digital Corporation and Sandisk Corporation (Filed as Exhibit 10.3 to the Company’s</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with the Securities and Exchange Commission on February 24, 2025)#</w:t>
            </w:r>
          </w:p>
        </w:tc>
        <w:tc>
          <w:tcPr>
            <w:tcW w:w="0" w:type="dxa"/>
            <w:vAlign w:val="bottom"/>
          </w:tcPr>
          <w:p>
            <w:pPr>
              <w:spacing w:after="0"/>
              <w:rPr>
                <w:sz w:val="1"/>
                <w:szCs w:val="1"/>
                <w:color w:val="auto"/>
              </w:rPr>
            </w:pPr>
          </w:p>
        </w:tc>
      </w:tr>
      <w:tr>
        <w:trPr>
          <w:trHeight w:val="149"/>
        </w:trPr>
        <w:tc>
          <w:tcPr>
            <w:tcW w:w="600" w:type="dxa"/>
            <w:vAlign w:val="bottom"/>
            <w:gridSpan w:val="6"/>
            <w:shd w:val="clear" w:color="auto" w:fill="CCEEFF"/>
          </w:tcPr>
          <w:p>
            <w:pPr>
              <w:jc w:val="center"/>
              <w:ind w:left="228"/>
              <w:spacing w:after="0" w:line="149"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hyperlink>
          </w:p>
        </w:tc>
        <w:tc>
          <w:tcPr>
            <w:tcW w:w="380" w:type="dxa"/>
            <w:vAlign w:val="bottom"/>
            <w:shd w:val="clear" w:color="auto" w:fill="CCEEFF"/>
          </w:tcPr>
          <w:p>
            <w:pPr>
              <w:spacing w:after="0"/>
              <w:rPr>
                <w:sz w:val="12"/>
                <w:szCs w:val="12"/>
                <w:color w:val="auto"/>
              </w:rPr>
            </w:pPr>
          </w:p>
        </w:tc>
        <w:tc>
          <w:tcPr>
            <w:tcW w:w="10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Intellectual Property Cross-License Agreement, dated as of February 21, 2025, by and between Western Digital Corporation and Sandisk Corporation (Filed as Exhibit 10.4 to</w:t>
            </w:r>
          </w:p>
        </w:tc>
        <w:tc>
          <w:tcPr>
            <w:tcW w:w="0" w:type="dxa"/>
            <w:vAlign w:val="bottom"/>
          </w:tcPr>
          <w:p>
            <w:pPr>
              <w:spacing w:after="0"/>
              <w:rPr>
                <w:sz w:val="1"/>
                <w:szCs w:val="1"/>
                <w:color w:val="auto"/>
              </w:rPr>
            </w:pPr>
          </w:p>
        </w:tc>
      </w:tr>
      <w:tr>
        <w:trPr>
          <w:trHeight w:val="169"/>
        </w:trPr>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Current Report on Form 8-K with the Securities and Exchange Commission on February 24, 2025)#</w:t>
            </w:r>
          </w:p>
        </w:tc>
        <w:tc>
          <w:tcPr>
            <w:tcW w:w="0" w:type="dxa"/>
            <w:vAlign w:val="bottom"/>
          </w:tcPr>
          <w:p>
            <w:pPr>
              <w:spacing w:after="0"/>
              <w:rPr>
                <w:sz w:val="1"/>
                <w:szCs w:val="1"/>
                <w:color w:val="auto"/>
              </w:rPr>
            </w:pPr>
          </w:p>
        </w:tc>
      </w:tr>
      <w:tr>
        <w:trPr>
          <w:trHeight w:val="148"/>
        </w:trPr>
        <w:tc>
          <w:tcPr>
            <w:tcW w:w="600" w:type="dxa"/>
            <w:vAlign w:val="bottom"/>
            <w:gridSpan w:val="6"/>
          </w:tcPr>
          <w:p>
            <w:pPr>
              <w:jc w:val="center"/>
              <w:ind w:left="228"/>
              <w:spacing w:after="0" w:line="149"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Transitional Trademark License Agreement, dated as of February 21, 2025, by and between Western Digital Corporation and Sandisk Corporation (Filed as Exhibit 10.5 to the</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Current Report on Form 8-K with the Securities and Exchange Commission on February 24, 2025)#</w:t>
            </w:r>
          </w:p>
        </w:tc>
        <w:tc>
          <w:tcPr>
            <w:tcW w:w="0" w:type="dxa"/>
            <w:vAlign w:val="bottom"/>
          </w:tcPr>
          <w:p>
            <w:pPr>
              <w:spacing w:after="0"/>
              <w:rPr>
                <w:sz w:val="1"/>
                <w:szCs w:val="1"/>
                <w:color w:val="auto"/>
              </w:rPr>
            </w:pPr>
          </w:p>
        </w:tc>
      </w:tr>
      <w:tr>
        <w:trPr>
          <w:trHeight w:val="149"/>
        </w:trPr>
        <w:tc>
          <w:tcPr>
            <w:tcW w:w="600" w:type="dxa"/>
            <w:vAlign w:val="bottom"/>
            <w:gridSpan w:val="6"/>
            <w:shd w:val="clear" w:color="auto" w:fill="CCEEFF"/>
          </w:tcPr>
          <w:p>
            <w:pPr>
              <w:jc w:val="center"/>
              <w:ind w:left="228"/>
              <w:spacing w:after="0" w:line="149"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380" w:type="dxa"/>
            <w:vAlign w:val="bottom"/>
            <w:shd w:val="clear" w:color="auto" w:fill="CCEEFF"/>
          </w:tcPr>
          <w:p>
            <w:pPr>
              <w:spacing w:after="0"/>
              <w:rPr>
                <w:sz w:val="12"/>
                <w:szCs w:val="12"/>
                <w:color w:val="auto"/>
              </w:rPr>
            </w:pPr>
          </w:p>
        </w:tc>
        <w:tc>
          <w:tcPr>
            <w:tcW w:w="10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 and Registration Rights Agreement, dated as of February 21, 2025, by and between Western Digital Corporation and Sandisk Corporation (Filed as Exhibit 10.6 to</w:t>
            </w:r>
          </w:p>
        </w:tc>
        <w:tc>
          <w:tcPr>
            <w:tcW w:w="0" w:type="dxa"/>
            <w:vAlign w:val="bottom"/>
          </w:tcPr>
          <w:p>
            <w:pPr>
              <w:spacing w:after="0"/>
              <w:rPr>
                <w:sz w:val="1"/>
                <w:szCs w:val="1"/>
                <w:color w:val="auto"/>
              </w:rPr>
            </w:pPr>
          </w:p>
        </w:tc>
      </w:tr>
      <w:tr>
        <w:trPr>
          <w:trHeight w:val="169"/>
        </w:trPr>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Current Report on Form 8-K with the Securities and Exchange Commission on February 24, 2025)#</w:t>
            </w:r>
          </w:p>
        </w:tc>
        <w:tc>
          <w:tcPr>
            <w:tcW w:w="0" w:type="dxa"/>
            <w:vAlign w:val="bottom"/>
          </w:tcPr>
          <w:p>
            <w:pPr>
              <w:spacing w:after="0"/>
              <w:rPr>
                <w:sz w:val="1"/>
                <w:szCs w:val="1"/>
                <w:color w:val="auto"/>
              </w:rPr>
            </w:pPr>
          </w:p>
        </w:tc>
      </w:tr>
      <w:tr>
        <w:trPr>
          <w:trHeight w:val="148"/>
        </w:trPr>
        <w:tc>
          <w:tcPr>
            <w:tcW w:w="600" w:type="dxa"/>
            <w:vAlign w:val="bottom"/>
            <w:gridSpan w:val="6"/>
          </w:tcPr>
          <w:p>
            <w:pPr>
              <w:jc w:val="center"/>
              <w:ind w:left="228"/>
              <w:spacing w:after="0" w:line="149"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 Agreement, dated as of February 21, 2025, by and among Sandisk Corporation, each lender party thereto, JPMorgan Chase Bank, N.A., as administrative agent and</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collateral agent and the other parties party thereto (Filed as Exhibit 10.7 to the Company’s Current Report on Form 8-K with the Securities and Exchange Commission on</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2025)#</w:t>
            </w:r>
          </w:p>
        </w:tc>
        <w:tc>
          <w:tcPr>
            <w:tcW w:w="0" w:type="dxa"/>
            <w:vAlign w:val="bottom"/>
          </w:tcPr>
          <w:p>
            <w:pPr>
              <w:spacing w:after="0"/>
              <w:rPr>
                <w:sz w:val="1"/>
                <w:szCs w:val="1"/>
                <w:color w:val="auto"/>
              </w:rPr>
            </w:pPr>
          </w:p>
        </w:tc>
      </w:tr>
      <w:tr>
        <w:trPr>
          <w:trHeight w:val="156"/>
        </w:trPr>
        <w:tc>
          <w:tcPr>
            <w:tcW w:w="600" w:type="dxa"/>
            <w:vAlign w:val="bottom"/>
            <w:gridSpan w:val="6"/>
            <w:shd w:val="clear" w:color="auto" w:fill="CCEEFF"/>
          </w:tcPr>
          <w:p>
            <w:pPr>
              <w:jc w:val="center"/>
              <w:ind w:left="228"/>
              <w:spacing w:after="0" w:line="156" w:lineRule="exact"/>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380" w:type="dxa"/>
            <w:vAlign w:val="bottom"/>
            <w:shd w:val="clear" w:color="auto" w:fill="CCEEFF"/>
          </w:tcPr>
          <w:p>
            <w:pPr>
              <w:spacing w:after="0"/>
              <w:rPr>
                <w:sz w:val="13"/>
                <w:szCs w:val="13"/>
                <w:color w:val="auto"/>
              </w:rPr>
            </w:pPr>
          </w:p>
        </w:tc>
        <w:tc>
          <w:tcPr>
            <w:tcW w:w="10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Security Agreement, dated as of February 21, 2025, by and among Sandisk Corporation, Sandisk Technologies, Inc. and JPMorgan Chase Bank, N.A., as collateral agent (Filed</w:t>
            </w:r>
          </w:p>
        </w:tc>
        <w:tc>
          <w:tcPr>
            <w:tcW w:w="0" w:type="dxa"/>
            <w:vAlign w:val="bottom"/>
          </w:tcPr>
          <w:p>
            <w:pPr>
              <w:spacing w:after="0"/>
              <w:rPr>
                <w:sz w:val="1"/>
                <w:szCs w:val="1"/>
                <w:color w:val="auto"/>
              </w:rPr>
            </w:pPr>
          </w:p>
        </w:tc>
      </w:tr>
      <w:tr>
        <w:trPr>
          <w:trHeight w:val="169"/>
        </w:trPr>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Exhibit 10.8 to the Company’s Current Report on Form 8-K with the Securities and Exchange Commission on February 24, 2025)</w:t>
            </w:r>
          </w:p>
        </w:tc>
        <w:tc>
          <w:tcPr>
            <w:tcW w:w="0" w:type="dxa"/>
            <w:vAlign w:val="bottom"/>
          </w:tcPr>
          <w:p>
            <w:pPr>
              <w:spacing w:after="0"/>
              <w:rPr>
                <w:sz w:val="1"/>
                <w:szCs w:val="1"/>
                <w:color w:val="auto"/>
              </w:rPr>
            </w:pPr>
          </w:p>
        </w:tc>
      </w:tr>
      <w:tr>
        <w:trPr>
          <w:trHeight w:val="148"/>
        </w:trPr>
        <w:tc>
          <w:tcPr>
            <w:tcW w:w="600" w:type="dxa"/>
            <w:vAlign w:val="bottom"/>
            <w:gridSpan w:val="6"/>
          </w:tcPr>
          <w:p>
            <w:pPr>
              <w:jc w:val="center"/>
              <w:ind w:left="228"/>
              <w:spacing w:after="0" w:line="14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Guaranty Agreement, dated as of February 21, 2025, by and among Sandisk Corporation, Sandisk Technologies, Inc. and JPMorgan Chase Bank, N.A., as administrative agent</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(Filed as Exhibit 10.9 to the Company’s Current Report on Form 8-K with the Securities and Exchange Commission on February 24, 2025)</w:t>
            </w:r>
          </w:p>
        </w:tc>
        <w:tc>
          <w:tcPr>
            <w:tcW w:w="0" w:type="dxa"/>
            <w:vAlign w:val="bottom"/>
          </w:tcPr>
          <w:p>
            <w:pPr>
              <w:spacing w:after="0"/>
              <w:rPr>
                <w:sz w:val="1"/>
                <w:szCs w:val="1"/>
                <w:color w:val="auto"/>
              </w:rPr>
            </w:pPr>
          </w:p>
        </w:tc>
      </w:tr>
      <w:tr>
        <w:trPr>
          <w:trHeight w:val="149"/>
        </w:trPr>
        <w:tc>
          <w:tcPr>
            <w:tcW w:w="980" w:type="dxa"/>
            <w:vAlign w:val="bottom"/>
            <w:gridSpan w:val="7"/>
            <w:shd w:val="clear" w:color="auto" w:fill="CCEEFF"/>
          </w:tcPr>
          <w:p>
            <w:pPr>
              <w:jc w:val="center"/>
              <w:ind w:right="100"/>
              <w:spacing w:after="0" w:line="149" w:lineRule="exact"/>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of Indemnification Agreement for Directors and Officers (Filed as Exhibit 10.10 to the Company’s Current Report on Form 8-K with the Securities and Exchange</w:t>
            </w:r>
          </w:p>
        </w:tc>
        <w:tc>
          <w:tcPr>
            <w:tcW w:w="0" w:type="dxa"/>
            <w:vAlign w:val="bottom"/>
          </w:tcPr>
          <w:p>
            <w:pPr>
              <w:spacing w:after="0"/>
              <w:rPr>
                <w:sz w:val="1"/>
                <w:szCs w:val="1"/>
                <w:color w:val="auto"/>
              </w:rPr>
            </w:pPr>
          </w:p>
        </w:tc>
      </w:tr>
      <w:tr>
        <w:trPr>
          <w:trHeight w:val="169"/>
        </w:trPr>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 on February 24, 2025)</w:t>
            </w:r>
          </w:p>
        </w:tc>
        <w:tc>
          <w:tcPr>
            <w:tcW w:w="0" w:type="dxa"/>
            <w:vAlign w:val="bottom"/>
          </w:tcPr>
          <w:p>
            <w:pPr>
              <w:spacing w:after="0"/>
              <w:rPr>
                <w:sz w:val="1"/>
                <w:szCs w:val="1"/>
                <w:color w:val="auto"/>
              </w:rPr>
            </w:pPr>
          </w:p>
        </w:tc>
      </w:tr>
      <w:tr>
        <w:trPr>
          <w:trHeight w:val="149"/>
        </w:trPr>
        <w:tc>
          <w:tcPr>
            <w:tcW w:w="600" w:type="dxa"/>
            <w:vAlign w:val="bottom"/>
            <w:gridSpan w:val="6"/>
          </w:tcPr>
          <w:p>
            <w:pPr>
              <w:jc w:val="center"/>
              <w:ind w:left="228"/>
              <w:spacing w:after="0" w:line="149"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0000FF"/>
            </w:tcBorders>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49"/>
        </w:trPr>
        <w:tc>
          <w:tcPr>
            <w:tcW w:w="600" w:type="dxa"/>
            <w:vAlign w:val="bottom"/>
            <w:gridSpan w:val="6"/>
          </w:tcPr>
          <w:p>
            <w:pPr>
              <w:jc w:val="center"/>
              <w:ind w:left="228"/>
              <w:spacing w:after="0" w:line="149"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38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0000FF"/>
            </w:tcBorders>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95"/>
        </w:trPr>
        <w:tc>
          <w:tcPr>
            <w:tcW w:w="9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10"/>
        </w:trPr>
        <w:tc>
          <w:tcPr>
            <w:tcW w:w="980" w:type="dxa"/>
            <w:vAlign w:val="bottom"/>
            <w:gridSpan w:val="7"/>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95"/>
        </w:trPr>
        <w:tc>
          <w:tcPr>
            <w:tcW w:w="9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color w:val="auto"/>
              </w:rPr>
              <w:t>101.CAL</w:t>
            </w: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10"/>
        </w:trPr>
        <w:tc>
          <w:tcPr>
            <w:tcW w:w="980" w:type="dxa"/>
            <w:vAlign w:val="bottom"/>
            <w:gridSpan w:val="7"/>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101.LAB</w:t>
            </w:r>
          </w:p>
        </w:tc>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195"/>
        </w:trPr>
        <w:tc>
          <w:tcPr>
            <w:tcW w:w="9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color w:val="auto"/>
              </w:rPr>
              <w:t>101.PRE</w:t>
            </w: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210"/>
        </w:trPr>
        <w:tc>
          <w:tcPr>
            <w:tcW w:w="980" w:type="dxa"/>
            <w:vAlign w:val="bottom"/>
            <w:gridSpan w:val="7"/>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bl>
    <w:p>
      <w:pPr>
        <w:ind w:left="1020" w:hanging="66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 formatted in Inline XBRL and contained in Exhibit 101**</w:t>
      </w:r>
    </w:p>
    <w:p>
      <w:pPr>
        <w:spacing w:after="0" w:line="284" w:lineRule="exact"/>
        <w:rPr>
          <w:rFonts w:ascii="Times New Roman" w:cs="Times New Roman" w:eastAsia="Times New Roman" w:hAnsi="Times New Roman"/>
          <w:sz w:val="14"/>
          <w:szCs w:val="14"/>
          <w:color w:val="auto"/>
        </w:rPr>
      </w:pPr>
    </w:p>
    <w:p>
      <w:pPr>
        <w:ind w:left="120" w:hanging="112"/>
        <w:spacing w:after="0"/>
        <w:tabs>
          <w:tab w:leader="none" w:pos="1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9683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with this report.</w:t>
      </w:r>
    </w:p>
    <w:p>
      <w:pPr>
        <w:spacing w:after="0" w:line="15" w:lineRule="exact"/>
        <w:rPr>
          <w:sz w:val="20"/>
          <w:szCs w:val="20"/>
          <w:color w:val="auto"/>
        </w:rPr>
      </w:pPr>
    </w:p>
    <w:p>
      <w:pPr>
        <w:ind w:left="340" w:right="140" w:hanging="332"/>
        <w:spacing w:after="0" w:line="257" w:lineRule="auto"/>
        <w:tabs>
          <w:tab w:leader="none" w:pos="13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Sandisk Corporation</w:t>
      </w:r>
    </w:p>
    <w:p>
      <w:pPr>
        <w:spacing w:after="0" w:line="194"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6"/>
          <w:szCs w:val="16"/>
          <w:color w:val="auto"/>
        </w:rPr>
        <w:t>By:</w:t>
        <w:tab/>
        <w:t>/s/ Michael R. Pokorny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20320</wp:posOffset>
            </wp:positionV>
            <wp:extent cx="27857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Michael R. Pokorny</w:t>
      </w:r>
    </w:p>
    <w:p>
      <w:pPr>
        <w:spacing w:after="0" w:line="3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i w:val="1"/>
          <w:iCs w:val="1"/>
          <w:color w:val="auto"/>
        </w:rPr>
        <w:t>Vice President, Chief Accounting Officer</w:t>
      </w:r>
    </w:p>
    <w:p>
      <w:pPr>
        <w:spacing w:after="0" w:line="3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(Principal Accounting Officer and Duly Authorized Officer)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80"/>
          </w:cols>
          <w:pgMar w:left="320" w:top="121" w:right="7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Sandisk Corporation;</w:t>
      </w:r>
    </w:p>
    <w:p>
      <w:pPr>
        <w:spacing w:after="0" w:line="117" w:lineRule="exact"/>
        <w:rPr>
          <w:rFonts w:ascii="Times New Roman" w:cs="Times New Roman" w:eastAsia="Times New Roman" w:hAnsi="Times New Roman"/>
          <w:sz w:val="18"/>
          <w:szCs w:val="18"/>
          <w:color w:val="auto"/>
        </w:rPr>
      </w:pPr>
    </w:p>
    <w:p>
      <w:pPr>
        <w:ind w:right="120" w:firstLine="332"/>
        <w:spacing w:after="0" w:line="312" w:lineRule="auto"/>
        <w:tabs>
          <w:tab w:leader="none" w:pos="64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80" w:firstLine="332"/>
        <w:spacing w:after="0" w:line="282"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20" w:firstLine="332"/>
        <w:spacing w:after="0" w:line="282"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700" w:firstLine="656"/>
        <w:spacing w:after="0" w:line="282" w:lineRule="auto"/>
        <w:tabs>
          <w:tab w:leader="none" w:pos="8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F. Visoso,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Sandisk Corporation;</w:t>
      </w:r>
    </w:p>
    <w:p>
      <w:pPr>
        <w:spacing w:after="0" w:line="117" w:lineRule="exact"/>
        <w:rPr>
          <w:rFonts w:ascii="Times New Roman" w:cs="Times New Roman" w:eastAsia="Times New Roman" w:hAnsi="Times New Roman"/>
          <w:sz w:val="18"/>
          <w:szCs w:val="18"/>
          <w:color w:val="auto"/>
        </w:rPr>
      </w:pPr>
    </w:p>
    <w:p>
      <w:pPr>
        <w:ind w:right="120" w:firstLine="332"/>
        <w:spacing w:after="0" w:line="312" w:lineRule="auto"/>
        <w:tabs>
          <w:tab w:leader="none" w:pos="64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80" w:firstLine="332"/>
        <w:spacing w:after="0" w:line="282"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20" w:firstLine="332"/>
        <w:spacing w:after="0" w:line="282"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700" w:firstLine="656"/>
        <w:spacing w:after="0" w:line="282" w:lineRule="auto"/>
        <w:tabs>
          <w:tab w:leader="none" w:pos="8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/s/ Luis F. Visoso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Luis F. Visoso</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ectPr>
          <w:pgSz w:w="11900" w:h="16838" w:orient="portrait"/>
          <w:cols w:equalWidth="0" w:num="1">
            <w:col w:w="11240"/>
          </w:cols>
          <w:pgMar w:left="320" w:top="887" w:right="339" w:bottom="1440" w:gutter="0" w:footer="0" w:header="0"/>
        </w:sectPr>
      </w:pPr>
    </w:p>
    <w:bookmarkStart w:id="46" w:name="page47"/>
    <w:bookmarkEnd w:id="4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Sandisk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99" w:lineRule="exact"/>
        <w:rPr>
          <w:sz w:val="20"/>
          <w:szCs w:val="20"/>
          <w:color w:val="auto"/>
        </w:rPr>
      </w:pPr>
    </w:p>
    <w:p>
      <w:pPr>
        <w:ind w:right="80" w:firstLine="332"/>
        <w:spacing w:after="0" w:line="282" w:lineRule="auto"/>
        <w:tabs>
          <w:tab w:leader="none" w:pos="5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December 27,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ectPr>
          <w:pgSz w:w="11900" w:h="16838" w:orient="portrait"/>
          <w:cols w:equalWidth="0" w:num="1">
            <w:col w:w="11240"/>
          </w:cols>
          <w:pgMar w:left="320" w:top="887"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Sandisk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99" w:lineRule="exact"/>
        <w:rPr>
          <w:sz w:val="20"/>
          <w:szCs w:val="20"/>
          <w:color w:val="auto"/>
        </w:rPr>
      </w:pPr>
    </w:p>
    <w:p>
      <w:pPr>
        <w:ind w:right="80" w:firstLine="332"/>
        <w:spacing w:after="0" w:line="282" w:lineRule="auto"/>
        <w:tabs>
          <w:tab w:leader="none" w:pos="5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December 27,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Luis F. Visoso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Luis F. Visoso</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Roman"/>
      <w:start w:val="10"/>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77" Type="http://schemas.openxmlformats.org/officeDocument/2006/relationships/hyperlink" Target="https://www.sec.gov/Archives/edgar/data/2023554/000119312525033433/d849281dex21.htm" TargetMode="External"/><Relationship Id="rId78" Type="http://schemas.openxmlformats.org/officeDocument/2006/relationships/hyperlink" Target="https://www.sec.gov/Archives/edgar/data/2023554/000119312525033433/d849281dex31.htm" TargetMode="External"/><Relationship Id="rId79" Type="http://schemas.openxmlformats.org/officeDocument/2006/relationships/hyperlink" Target="https://www.sec.gov/Archives/edgar/data/2023554/000119312525027285/d229754dex31.htm" TargetMode="External"/><Relationship Id="rId80" Type="http://schemas.openxmlformats.org/officeDocument/2006/relationships/hyperlink" Target="https://www.sec.gov/Archives/edgar/data/2023554/000119312525033433/d849281dex101.htm" TargetMode="External"/><Relationship Id="rId81" Type="http://schemas.openxmlformats.org/officeDocument/2006/relationships/hyperlink" Target="https://www.sec.gov/Archives/edgar/data/2023554/000119312525033433/d849281dex102.htm" TargetMode="External"/><Relationship Id="rId82" Type="http://schemas.openxmlformats.org/officeDocument/2006/relationships/hyperlink" Target="https://www.sec.gov/Archives/edgar/data/2023554/000119312525033433/d849281dex103.htm" TargetMode="External"/><Relationship Id="rId83" Type="http://schemas.openxmlformats.org/officeDocument/2006/relationships/hyperlink" Target="https://www.sec.gov/Archives/edgar/data/2023554/000119312525033433/d849281dex104.htm" TargetMode="External"/><Relationship Id="rId84" Type="http://schemas.openxmlformats.org/officeDocument/2006/relationships/hyperlink" Target="https://www.sec.gov/Archives/edgar/data/2023554/000119312525033433/d849281dex105.htm" TargetMode="External"/><Relationship Id="rId85" Type="http://schemas.openxmlformats.org/officeDocument/2006/relationships/hyperlink" Target="https://www.sec.gov/Archives/edgar/data/2023554/000119312525033433/d849281dex106.htm" TargetMode="External"/><Relationship Id="rId86" Type="http://schemas.openxmlformats.org/officeDocument/2006/relationships/hyperlink" Target="https://www.sec.gov/Archives/edgar/data/2023554/000119312525033433/d849281dex107.htm" TargetMode="External"/><Relationship Id="rId87" Type="http://schemas.openxmlformats.org/officeDocument/2006/relationships/hyperlink" Target="https://www.sec.gov/Archives/edgar/data/2023554/000119312525033433/d849281dex108.htm" TargetMode="External"/><Relationship Id="rId88" Type="http://schemas.openxmlformats.org/officeDocument/2006/relationships/hyperlink" Target="https://www.sec.gov/Archives/edgar/data/2023554/000119312525033433/d849281dex109.htm" TargetMode="External"/><Relationship Id="rId89" Type="http://schemas.openxmlformats.org/officeDocument/2006/relationships/hyperlink" Target="https://www.sec.gov/Archives/edgar/data/2023554/000119312525033433/d849281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2025-03-17T05:16:14Z</dcterms:created>
  <dcterms:modified xsi:type="dcterms:W3CDTF">2025-03-17T05:16:14Z</dcterms:modified>
</cp:coreProperties>
</file>