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001-42420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99-1508671</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951 Sandisk Drive</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Milpitas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95035</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801-1000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SNDK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380" w:firstLine="440"/>
        <w:spacing w:after="0" w:line="289" w:lineRule="auto"/>
        <w:rPr>
          <w:sz w:val="20"/>
          <w:szCs w:val="20"/>
          <w:color w:val="auto"/>
        </w:rPr>
      </w:pPr>
      <w:r>
        <w:rPr>
          <w:rFonts w:ascii="Times New Roman" w:cs="Times New Roman" w:eastAsia="Times New Roman" w:hAnsi="Times New Roman"/>
          <w:sz w:val="17"/>
          <w:szCs w:val="17"/>
          <w:color w:val="auto"/>
        </w:rPr>
        <w:t>On March 25, 2026, Sandisk Technologies, Inc. (the “Company”), a wholly-owned subsidiary of Sandisk Corporation, entered into a Private Placement Subscription Agreement (the “Equity Investment Agreement”) with Nanya Technology Corporation (“Nanya”), pursuant to which the Company agreed to make a strategic equity investment in Nanya through a private placement of Nanya common stock (the “Transaction”).</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Under the Equity Investment Agreement, the Company agreed to purchase approximately 139 million shares of Nanya common stock for an aggregate purchase price of approximately $1.0 billion, representing approximately 3.9% of Nanya’s outstanding common stock on a fully diluted basis following the Transaction. The purchase price reflects a 15% discount to Nanya’s 30-day average trading price, consistent with the Taiwan Securities and Exchange Act (“SEA”) and applicable regulations. The private placement is being conducted pursuant to Article 43-6 of the SEA and applicable regulations and is subject to post-closing filings with the Taiwan Stock Exchange and other Taiwanese regulatory authorities. The shares issued to the Company in the private placement will be subject to a statutory lock-up period of three years following delivery, during which the Company will be restricted from transferring or selling the shares, subject to limited exceptions under applicable Taiwanese law.</w:t>
      </w:r>
    </w:p>
    <w:p>
      <w:pPr>
        <w:spacing w:after="0" w:line="189"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Equity Investment Agreement does not purport to be complete and is qualified in its entirety by reference to the full text of the Equity Investment Agreement, which is filed as Exhibit 10.1 to this Current Report on Form 8-K and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Equity Investment Agreement, the Company and Nanya also entered into a multi-year strategic supply arrangement pursuant to which Nanya will supply the Company with DRAM products. The supply arrangement is intended to support the Company’s long-term DRAM sourcing strategy.</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1380" w:right="360" w:hanging="1119"/>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  10.1</w:t>
      </w:r>
      <w:r>
        <w:rPr>
          <w:sz w:val="20"/>
          <w:szCs w:val="20"/>
          <w:color w:val="auto"/>
        </w:rPr>
        <w:tab/>
      </w:r>
      <w:r>
        <w:rPr>
          <w:rFonts w:ascii="Times New Roman" w:cs="Times New Roman" w:eastAsia="Times New Roman" w:hAnsi="Times New Roman"/>
          <w:sz w:val="18"/>
          <w:szCs w:val="18"/>
          <w:u w:val="single" w:color="auto"/>
          <w:color w:val="0000EE"/>
        </w:rPr>
        <w:t>Private Placement Subscription Agreement, dated as of March 25, 2026, by and between Sandisk Technologies, Inc. and Nanya Technology Corporation.</w:t>
      </w:r>
    </w:p>
    <w:p>
      <w:pPr>
        <w:spacing w:after="0" w:line="54" w:lineRule="exact"/>
        <w:rPr>
          <w:sz w:val="20"/>
          <w:szCs w:val="20"/>
          <w:color w:val="auto"/>
        </w:rPr>
      </w:pPr>
    </w:p>
    <w:p>
      <w:pPr>
        <w:ind w:left="220"/>
        <w:spacing w:after="0"/>
        <w:tabs>
          <w:tab w:leader="none" w:pos="1360" w:val="left"/>
        </w:tabs>
        <w:rPr>
          <w:sz w:val="20"/>
          <w:szCs w:val="20"/>
          <w:color w:val="auto"/>
        </w:rPr>
      </w:pPr>
      <w:r>
        <w:rPr>
          <w:rFonts w:ascii="Times New Roman" w:cs="Times New Roman" w:eastAsia="Times New Roman" w:hAnsi="Times New Roman"/>
          <w:sz w:val="18"/>
          <w:szCs w:val="18"/>
          <w:color w:val="auto"/>
        </w:rPr>
        <w: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620"/>
        <w:spacing w:after="0"/>
        <w:tabs>
          <w:tab w:leader="none" w:pos="8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Bernard 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Bernard Shek</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and Secretary</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25, 2026</w:t>
      </w:r>
    </w:p>
    <w:p>
      <w:pPr>
        <w:sectPr>
          <w:pgSz w:w="11900" w:h="16838" w:orient="portrait"/>
          <w:cols w:equalWidth="0" w:num="1">
            <w:col w:w="10780"/>
          </w:cols>
          <w:pgMar w:left="440" w:top="293" w:right="67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Subscription Agreement</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Private Placement Subscription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25,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p>
    <w:p>
      <w:pPr>
        <w:spacing w:after="0" w:line="4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Nanya Technology Corporation</w:t>
      </w:r>
      <w:r>
        <w:rPr>
          <w:rFonts w:ascii="Times New Roman" w:cs="Times New Roman" w:eastAsia="Times New Roman" w:hAnsi="Times New Roman"/>
          <w:sz w:val="18"/>
          <w:szCs w:val="18"/>
          <w:color w:val="auto"/>
        </w:rPr>
        <w:t>, a company incorporated under the laws of the Republic of China (“</w:t>
      </w:r>
      <w:r>
        <w:rPr>
          <w:rFonts w:ascii="Times New Roman" w:cs="Times New Roman" w:eastAsia="Times New Roman" w:hAnsi="Times New Roman"/>
          <w:sz w:val="18"/>
          <w:szCs w:val="18"/>
          <w:b w:val="1"/>
          <w:bCs w:val="1"/>
          <w:color w:val="auto"/>
        </w:rPr>
        <w:t>Taiwan</w:t>
      </w:r>
      <w:r>
        <w:rPr>
          <w:rFonts w:ascii="Times New Roman" w:cs="Times New Roman" w:eastAsia="Times New Roman" w:hAnsi="Times New Roman"/>
          <w:sz w:val="18"/>
          <w:szCs w:val="18"/>
          <w:color w:val="auto"/>
        </w:rPr>
        <w:t>”) and listed on the Taiwan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(the </w:t>
      </w:r>
      <w:r>
        <w:rPr>
          <w:rFonts w:ascii="Times New Roman" w:cs="Times New Roman" w:eastAsia="Times New Roman" w:hAnsi="Times New Roman"/>
          <w:sz w:val="18"/>
          <w:szCs w:val="18"/>
          <w:b w:val="1"/>
          <w:bCs w:val="1"/>
          <w:color w:val="auto"/>
        </w:rPr>
        <w:t>“TWSE”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Stock Code: 2408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NTC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Sandisk Technologies, Inc.</w:t>
      </w:r>
      <w:r>
        <w:rPr>
          <w:rFonts w:ascii="Times New Roman" w:cs="Times New Roman" w:eastAsia="Times New Roman" w:hAnsi="Times New Roman"/>
          <w:sz w:val="18"/>
          <w:szCs w:val="18"/>
          <w:color w:val="auto"/>
        </w:rPr>
        <w:t>, a company incorporated under the laws of the State of Delaware, the United States (“</w:t>
      </w:r>
      <w:r>
        <w:rPr>
          <w:rFonts w:ascii="Times New Roman" w:cs="Times New Roman" w:eastAsia="Times New Roman" w:hAnsi="Times New Roman"/>
          <w:sz w:val="18"/>
          <w:szCs w:val="18"/>
          <w:b w:val="1"/>
          <w:bCs w:val="1"/>
          <w:color w:val="auto"/>
        </w:rPr>
        <w:t>Sandisk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NTC and the Subscriber is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NTC is principally engaged in the manufacture and sale of memory products and is a publicly listed company on the TWSE;</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NTC proposes to issue and sell, and Sandisk proposes to subscribe for and purchase, certain newly issued common shares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private placement basis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pursuant to Article 43-6 of the Securities and Exchange Act of Taiwan (the “</w:t>
      </w:r>
      <w:r>
        <w:rPr>
          <w:rFonts w:ascii="Times New Roman" w:cs="Times New Roman" w:eastAsia="Times New Roman" w:hAnsi="Times New Roman"/>
          <w:sz w:val="18"/>
          <w:szCs w:val="18"/>
          <w:b w:val="1"/>
          <w:bCs w:val="1"/>
          <w:color w:val="auto"/>
        </w:rPr>
        <w:t>SEA</w:t>
      </w:r>
      <w:r>
        <w:rPr>
          <w:rFonts w:ascii="Times New Roman" w:cs="Times New Roman" w:eastAsia="Times New Roman" w:hAnsi="Times New Roman"/>
          <w:sz w:val="18"/>
          <w:szCs w:val="18"/>
          <w:color w:val="auto"/>
        </w:rPr>
        <w:t>”) and applicable regulations; and</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proposed Private Placement, NTC desires to newly issue 351,578,000 common shares of the Company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placement basis to certain other investors which, when aggregated with the Subscription Shares (defined below) and assuming all investors fully subscribe to their respective subscription shares, upon closing thereof represents a combined value of NTD 78,718,314,200.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the Parties agree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SUBSCRIPTION AND ISSUANCE</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1.1</w:t>
        <w:tab/>
        <w:t>Subscription.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Agreement, at the Closing, the Company shall issue and sell to the Subscriber, and the Subscriber shall subscribe for and purchase from the Company, on a private placement basis pursuant Article 43-6 of the SEA, 138,685,000 newly issued common shares of the Company (the “</w:t>
      </w:r>
      <w:r>
        <w:rPr>
          <w:rFonts w:ascii="Times New Roman" w:cs="Times New Roman" w:eastAsia="Times New Roman" w:hAnsi="Times New Roman"/>
          <w:sz w:val="18"/>
          <w:szCs w:val="18"/>
          <w:b w:val="1"/>
          <w:bCs w:val="1"/>
          <w:color w:val="auto"/>
        </w:rPr>
        <w:t>Subscription Shares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Subscription Price.</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The par value of each Subscription Share is </w:t>
      </w:r>
      <w:r>
        <w:rPr>
          <w:rFonts w:ascii="Times New Roman" w:cs="Times New Roman" w:eastAsia="Times New Roman" w:hAnsi="Times New Roman"/>
          <w:sz w:val="18"/>
          <w:szCs w:val="18"/>
          <w:b w:val="1"/>
          <w:bCs w:val="1"/>
          <w:color w:val="auto"/>
        </w:rPr>
        <w:t>NTD10</w:t>
      </w:r>
      <w:r>
        <w:rPr>
          <w:rFonts w:ascii="Times New Roman" w:cs="Times New Roman" w:eastAsia="Times New Roman" w:hAnsi="Times New Roman"/>
          <w:sz w:val="18"/>
          <w:szCs w:val="18"/>
          <w:color w:val="auto"/>
        </w:rPr>
        <w:t xml:space="preserve">. The Subscriber agrees to subscribe for the Subscription Shares at a price of </w:t>
      </w:r>
      <w:r>
        <w:rPr>
          <w:rFonts w:ascii="Times New Roman" w:cs="Times New Roman" w:eastAsia="Times New Roman" w:hAnsi="Times New Roman"/>
          <w:sz w:val="18"/>
          <w:szCs w:val="18"/>
          <w:b w:val="1"/>
          <w:bCs w:val="1"/>
          <w:color w:val="auto"/>
        </w:rPr>
        <w:t>NTD 223.9</w:t>
      </w:r>
      <w:r>
        <w:rPr>
          <w:rFonts w:ascii="Times New Roman" w:cs="Times New Roman" w:eastAsia="Times New Roman" w:hAnsi="Times New Roman"/>
          <w:sz w:val="18"/>
          <w:szCs w:val="18"/>
          <w:color w:val="auto"/>
        </w:rPr>
        <w:t xml:space="preserve"> per share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xml:space="preserve">”), for a total amount of </w:t>
      </w:r>
      <w:r>
        <w:rPr>
          <w:rFonts w:ascii="Times New Roman" w:cs="Times New Roman" w:eastAsia="Times New Roman" w:hAnsi="Times New Roman"/>
          <w:sz w:val="18"/>
          <w:szCs w:val="18"/>
          <w:b w:val="1"/>
          <w:bCs w:val="1"/>
          <w:color w:val="auto"/>
        </w:rPr>
        <w:t>NTD 31,051,571,500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can be paid partially in New Taiwan dollars (the “</w:t>
      </w:r>
      <w:r>
        <w:rPr>
          <w:rFonts w:ascii="Times New Roman" w:cs="Times New Roman" w:eastAsia="Times New Roman" w:hAnsi="Times New Roman"/>
          <w:sz w:val="18"/>
          <w:szCs w:val="18"/>
          <w:b w:val="1"/>
          <w:bCs w:val="1"/>
          <w:color w:val="auto"/>
        </w:rPr>
        <w:t>NTD Purchase Price</w:t>
      </w:r>
      <w:r>
        <w:rPr>
          <w:rFonts w:ascii="Times New Roman" w:cs="Times New Roman" w:eastAsia="Times New Roman" w:hAnsi="Times New Roman"/>
          <w:sz w:val="18"/>
          <w:szCs w:val="18"/>
          <w:color w:val="auto"/>
        </w:rPr>
        <w:t>”) and partially in United States dollars (the “</w:t>
      </w:r>
      <w:r>
        <w:rPr>
          <w:rFonts w:ascii="Times New Roman" w:cs="Times New Roman" w:eastAsia="Times New Roman" w:hAnsi="Times New Roman"/>
          <w:sz w:val="18"/>
          <w:szCs w:val="18"/>
          <w:b w:val="1"/>
          <w:bCs w:val="1"/>
          <w:color w:val="auto"/>
        </w:rPr>
        <w:t>USD Purchase Price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 CLOSING AND DELIVERY</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tab/>
        <w:t>Closing Date.</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Subject to the satisfaction or waiver of all conditions precedent set forth in Article 6, the closing of the subscription and issuance of the Subscription Shares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and take place at the date, place and time to be agreed between the Parties in writing within fifteen (15) calendar days following the execution and delivery of this Agreement (the date on which the Closing takes place is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2.2</w:t>
        <w:tab/>
        <w:t>Payment.</w:t>
      </w:r>
    </w:p>
    <w:p>
      <w:pPr>
        <w:spacing w:after="0" w:line="135" w:lineRule="exact"/>
        <w:rPr>
          <w:sz w:val="20"/>
          <w:szCs w:val="20"/>
          <w:color w:val="auto"/>
        </w:rPr>
      </w:pPr>
    </w:p>
    <w:p>
      <w:pPr>
        <w:jc w:val="both"/>
        <w:ind w:left="424" w:right="2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shall provide the Subscriber in writing with the respective name of the bank(s), account name, account number, and other wire transfer instructions for payment of the NTD Purchase Price (the “</w:t>
      </w:r>
      <w:r>
        <w:rPr>
          <w:rFonts w:ascii="Times New Roman" w:cs="Times New Roman" w:eastAsia="Times New Roman" w:hAnsi="Times New Roman"/>
          <w:sz w:val="18"/>
          <w:szCs w:val="18"/>
          <w:b w:val="1"/>
          <w:bCs w:val="1"/>
          <w:color w:val="auto"/>
        </w:rPr>
        <w:t>NTD Subscription Account</w:t>
      </w:r>
      <w:r>
        <w:rPr>
          <w:rFonts w:ascii="Times New Roman" w:cs="Times New Roman" w:eastAsia="Times New Roman" w:hAnsi="Times New Roman"/>
          <w:sz w:val="18"/>
          <w:szCs w:val="18"/>
          <w:color w:val="auto"/>
        </w:rPr>
        <w:t>”) and the USD Purchase Price (the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Subscription Account</w:t>
      </w:r>
      <w:r>
        <w:rPr>
          <w:rFonts w:ascii="Times New Roman" w:cs="Times New Roman" w:eastAsia="Times New Roman" w:hAnsi="Times New Roman"/>
          <w:sz w:val="18"/>
          <w:szCs w:val="18"/>
          <w:color w:val="auto"/>
        </w:rPr>
        <w:t>”). For purpose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the TWSE is open for trading.</w:t>
      </w:r>
    </w:p>
    <w:p>
      <w:pPr>
        <w:spacing w:after="0" w:line="81"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Date, the Subscriber shall remit the NTD Purchase Price to the NTD Subscription Account and an amount in United States dollars not less than the USD Purchase Price to the USD Subscription Account, by wire transfer of immediately available funds. For purpose of determining full payment of the entire Purchase Price, with respect to the USD Purchase Price, its equivalent value in New Taiwan dollars shall be calculated based on the US$/NT$ spot exchange rate published by the Taipei Forex Inc. at 11:00 a.m. Taipei time (Bloomberg Page TFEX 11:00 a.m. Fixing Rate) on the Closing Date. The Subscriber shall, and the Company shall assist Subscriber to, use commercially reasonable efforts to communicate with the Central Bank of the Republic of China (Taiwan) (“</w:t>
      </w:r>
      <w:r>
        <w:rPr>
          <w:rFonts w:ascii="Times New Roman" w:cs="Times New Roman" w:eastAsia="Times New Roman" w:hAnsi="Times New Roman"/>
          <w:sz w:val="18"/>
          <w:szCs w:val="18"/>
          <w:b w:val="1"/>
          <w:bCs w:val="1"/>
          <w:color w:val="auto"/>
        </w:rPr>
        <w:t>CBC</w:t>
      </w:r>
      <w:r>
        <w:rPr>
          <w:rFonts w:ascii="Times New Roman" w:cs="Times New Roman" w:eastAsia="Times New Roman" w:hAnsi="Times New Roman"/>
          <w:sz w:val="18"/>
          <w:szCs w:val="18"/>
          <w:color w:val="auto"/>
        </w:rPr>
        <w:t>”) on the Purchase Price foreign exchange settlement and payment mechanics immediately following the execution of this Agreement, so as to facilitate the Subscriber to pay as much of the Purchase Price in New Taiwan dollars as possible. [***].</w:t>
      </w:r>
    </w:p>
    <w:p>
      <w:pPr>
        <w:spacing w:after="0" w:line="97"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Purchase Price, the Company shall simultaneously issue and deliver to the Subscriber a payment and ownership confirmation in the form attached hereto as Exhibit A confirming Company’s receipt of the entire Purchase Price and the Subscriber’s ownership of the Subscription Shares.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Procedures.</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Following the Closing and subject to applicable laws and regulatory requirements, the Company shall, as soon as practicable and in any event no later than </w:t>
      </w:r>
      <w:r>
        <w:rPr>
          <w:rFonts w:ascii="Times New Roman" w:cs="Times New Roman" w:eastAsia="Times New Roman" w:hAnsi="Times New Roman"/>
          <w:sz w:val="18"/>
          <w:szCs w:val="18"/>
          <w:b w:val="1"/>
          <w:bCs w:val="1"/>
          <w:color w:val="auto"/>
        </w:rPr>
        <w:t>sixty (60)</w:t>
      </w:r>
      <w:r>
        <w:rPr>
          <w:rFonts w:ascii="Times New Roman" w:cs="Times New Roman" w:eastAsia="Times New Roman" w:hAnsi="Times New Roman"/>
          <w:sz w:val="18"/>
          <w:szCs w:val="18"/>
          <w:color w:val="auto"/>
        </w:rPr>
        <w:t xml:space="preserve"> calendar days after the Closing Date, complete all corporate, regulatory, and administrative procedures necessary for the issuance of the Subscription Shares, including, without limitation:</w:t>
      </w:r>
    </w:p>
    <w:p>
      <w:pPr>
        <w:spacing w:after="0" w:line="8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capital verification process in accordance with applicable Taiwan law;</w:t>
      </w:r>
    </w:p>
    <w:p>
      <w:pPr>
        <w:spacing w:after="0" w:line="153" w:lineRule="exact"/>
        <w:rPr>
          <w:rFonts w:ascii="Times New Roman" w:cs="Times New Roman" w:eastAsia="Times New Roman" w:hAnsi="Times New Roman"/>
          <w:sz w:val="18"/>
          <w:szCs w:val="18"/>
          <w:color w:val="auto"/>
        </w:rPr>
      </w:pPr>
    </w:p>
    <w:p>
      <w:pPr>
        <w:ind w:left="5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Page 2</w:t>
      </w:r>
    </w:p>
    <w:p>
      <w:pPr>
        <w:sectPr>
          <w:pgSz w:w="11900" w:h="16838" w:orient="portrait"/>
          <w:cols w:equalWidth="0" w:num="1">
            <w:col w:w="10984"/>
          </w:cols>
          <w:pgMar w:left="436" w:top="266" w:right="479" w:bottom="1440" w:gutter="0" w:footer="0" w:header="0"/>
        </w:sectPr>
      </w:pPr>
    </w:p>
    <w:bookmarkStart w:id="5" w:name="page6"/>
    <w:bookmarkEnd w:id="5"/>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the capital amendment registration with the Ministry of Economic Affairs (MOEA) [***]; and</w:t>
      </w:r>
    </w:p>
    <w:p>
      <w:pPr>
        <w:spacing w:after="0" w:line="130" w:lineRule="exact"/>
        <w:rPr>
          <w:rFonts w:ascii="Times New Roman" w:cs="Times New Roman" w:eastAsia="Times New Roman" w:hAnsi="Times New Roman"/>
          <w:sz w:val="18"/>
          <w:szCs w:val="18"/>
          <w:color w:val="auto"/>
        </w:rPr>
      </w:pPr>
    </w:p>
    <w:p>
      <w:pPr>
        <w:ind w:left="424" w:right="50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registering the Subscription Shares in book-entry form with the Taiwan Depository &amp; Clearing Corporation (TDCC) and crediting the Subscription Shares to the Subscriber’s designated securities account at the TDCC (the date of such crediting being referred to herein as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3. SUBSCRIBER REPRESENTATIONS AND WARRANTIES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Subscriber represents and warrants to the Company that, as of the Effective Date and the Closing Date:</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Organization, Authority and Enforceability.</w:t>
      </w:r>
    </w:p>
    <w:p>
      <w:pPr>
        <w:spacing w:after="0" w:line="135" w:lineRule="exact"/>
        <w:rPr>
          <w:sz w:val="20"/>
          <w:szCs w:val="20"/>
          <w:color w:val="auto"/>
        </w:rPr>
      </w:pPr>
    </w:p>
    <w:p>
      <w:pPr>
        <w:ind w:left="424" w:right="28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a company duly incorporated, validly existing, and in good standing under the laws of the jurisdiction pursuant to which it is incorporated. The Subscriber has full power and authority to enter into and perform this Agreement.</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Subscriber, and the execution and delivery by the Subscriber of this Agreement has been duly and validly authorized by all necessary corporate actions on its part.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legal, valid and binding obligation of the Subscriber, enforceable against it in accordance with its terms and subject to its conditions, except as may be limited by applicable bankruptcy, insolvency and similar laws.</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3.2</w:t>
        <w:tab/>
        <w:t>No Conflict.</w:t>
      </w:r>
    </w:p>
    <w:p>
      <w:pPr>
        <w:spacing w:after="0" w:line="121"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The execution and performance of this Agreement by the Subscriber do not (i) violate or conflict with the Subscriber’s organizational documents or its bylaws, (ii) violate any applicable laws or governmental orders binding upon the Subscriber; or (iii) conflict with, result in a breach of, constitute a default under (with or without giving notice, lapse of time or both), result in the acceleration of, create in any party the right to accelerate, terminate, suspend, modify, or cancel, or require any notice under, any material contract, deed, instrument or document to which the Subscriber is a party or bound.</w:t>
      </w:r>
    </w:p>
    <w:p>
      <w:pPr>
        <w:spacing w:after="0" w:line="30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Investment Purpose.</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The Subscriber is acquiring the Subscription Shares for its own account for investment purposes and not with a view to the resale or distribution thereof in violation of applicable securities laws. Subscriber has no present intention of selling, granting any participation in, or otherwise distributing the same, except for any intra-group transfer to any affiliated entity that controls, is controlled by, or is under common control with the Subscriber in compliance with applicable securities laws. By executing this Agreement, Subscriber further represents that Subscriber does not presently have any contract, undertaking, agreement or arrangement with any person to sell, transfer or grant participations to such person or to any third person, with respect to any of the Subscription Shares.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Page 3</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7"/>
          <w:szCs w:val="17"/>
          <w:b w:val="1"/>
          <w:bCs w:val="1"/>
          <w:color w:val="auto"/>
        </w:rPr>
        <w:t>Financial Capability.</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Subscriber has, and will have on the Closing Date, sufficient immediately available funds to pay the Purchase Price and to consummate the Private Placement contemplated by this Agreement.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3.5</w:t>
        <w:tab/>
        <w:t>Accredited Investor; No Solicitation.</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Subscriber meets the qualifications under Item 2, Paragraph 1, Article 43-6 of the SEA and the associated private placement laws and regulations pursuant thereto, and is an accredited investor as defined in Rule 501(a) of Regulation D promulgated under the Securities Act of 1933, as amended, and the rules and regulations promulgated thereunder. Neither Subscriber, nor any of its officers, directors, employees, agents, stockholders or partners has either directly or indirectly, including, through a broker or finder (a) engaged in any general solicitation, or (b) published any advertisement in connection with the offer and sale of the Subscription Shares.</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3.6</w:t>
        <w:tab/>
        <w:t>Foreign Institutional Investor Identification.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Subscriber has (i) obtained a foreign institutional investor identification issued by the TWSE, (ii) appointed an eligible agent in Taiwan to open a bank account, to pay relevant taxes, remit funds, and perform such other relevant functions, and (iii) appointed a custodian bank to hold the Subscription Shares in safekeeping, make confirmation and settle trades and report all relevant information.</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Independent Assessment.</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The Subscriber has carefully considered and has had opportunity to consult with Subscriber’s professional advisors as it deems necessary. The Subscriber has independently evaluated and determined that the transactions contemplated by this Agreement are a suitable investment for the Subscriber. Subscriber acknowledges that it is able to fend for itself in the transactions contemplated by this Agreement and has the ability to bear the economic risks of its investment pursuant to this Agreement.</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3.8</w:t>
        <w:tab/>
        <w:t>Non-PRC; Non-Sanctioned.</w:t>
      </w:r>
    </w:p>
    <w:p>
      <w:pPr>
        <w:spacing w:after="0" w:line="131" w:lineRule="exact"/>
        <w:rPr>
          <w:sz w:val="20"/>
          <w:szCs w:val="20"/>
          <w:color w:val="auto"/>
        </w:rPr>
      </w:pPr>
    </w:p>
    <w:p>
      <w:pPr>
        <w:ind w:left="424" w:right="100" w:hanging="424"/>
        <w:spacing w:after="0" w:line="26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not incorporated or organized under the laws of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xml:space="preserve">”) nor is the Subscriber directly or indirectly controlled by, or more than </w:t>
      </w:r>
      <w:r>
        <w:rPr>
          <w:rFonts w:ascii="Times New Roman" w:cs="Times New Roman" w:eastAsia="Times New Roman" w:hAnsi="Times New Roman"/>
          <w:sz w:val="18"/>
          <w:szCs w:val="18"/>
          <w:b w:val="1"/>
          <w:bCs w:val="1"/>
          <w:color w:val="auto"/>
        </w:rPr>
        <w:t>thirty (30)</w:t>
      </w:r>
      <w:r>
        <w:rPr>
          <w:rFonts w:ascii="Times New Roman" w:cs="Times New Roman" w:eastAsia="Times New Roman" w:hAnsi="Times New Roman"/>
          <w:sz w:val="18"/>
          <w:szCs w:val="18"/>
          <w:color w:val="auto"/>
        </w:rPr>
        <w:t xml:space="preserve"> percent owned, individually or in the aggregate, by entities incorporated or organized under the laws of the PRC and/or individuals of the PRC; namely, the Subscriber is not a PRC investor as defined under the applicable Taiwan laws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not (i) listed on the Specially Designated Nationals and Blocked Persons List or Consolidated Sanctions List maintained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UK Sanctions List published by the Foreign, Commonwealth and Development Office, the United Nations Security Council Consolidated List, the Consolidated List of Persons, Groups and Entities subject to EU Financial Sanctions maintained by the European Commission, or any similar list of designated parties maintained by the United States (including OFAC, the U.S. Department of State, and the U.S. Department of Commerce), the United Nations, the European Union (or any member state thereof), the United Kingdom (including His Majesty’s Treasury), or Taiwan, (ii) located in, resident in, or incorporated or organized under the laws of a country or territory that is the subject or target of comprehensive country- or territory-wide economic, financial, or trade sanctions (which are, as of the Effective Date, Crimea, Cuba, Iran, North Korea, and the so-called Donetsk People’s Republic and Luhansk People’s Republic), or (iv) directly or indirectly owned 50 percent or more or controlled by one or more individuals or entities described in the foregoing clauses (i), (ii), or (iii) (any such person, a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Page 4</w:t>
      </w:r>
    </w:p>
    <w:p>
      <w:pPr>
        <w:sectPr>
          <w:pgSz w:w="11900" w:h="16838" w:orient="portrait"/>
          <w:cols w:equalWidth="0" w:num="1">
            <w:col w:w="11004"/>
          </w:cols>
          <w:pgMar w:left="436" w:top="266"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 COMPANY REPRESENTATIONS AND WARRANTIES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represents and warrants to the Subscriber that, as of the Effective Date and the Closing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Organization, Authority and Enforceability.</w:t>
      </w:r>
    </w:p>
    <w:p>
      <w:pPr>
        <w:spacing w:after="0" w:line="135" w:lineRule="exact"/>
        <w:rPr>
          <w:sz w:val="20"/>
          <w:szCs w:val="20"/>
          <w:color w:val="auto"/>
        </w:rPr>
      </w:pPr>
    </w:p>
    <w:p>
      <w:pPr>
        <w:ind w:left="424" w:right="4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place of its incorporation. The Company has full corporate power and authority to enter into and perform this Agreement.</w:t>
      </w:r>
    </w:p>
    <w:p>
      <w:pPr>
        <w:spacing w:after="0" w:line="67" w:lineRule="exact"/>
        <w:rPr>
          <w:rFonts w:ascii="Times New Roman" w:cs="Times New Roman" w:eastAsia="Times New Roman" w:hAnsi="Times New Roman"/>
          <w:sz w:val="18"/>
          <w:szCs w:val="18"/>
          <w:color w:val="auto"/>
        </w:rPr>
      </w:pPr>
    </w:p>
    <w:p>
      <w:pPr>
        <w:jc w:val="both"/>
        <w:ind w:left="424" w:right="52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Company, and the execution and delivery by the Company of this Agreement and the issuance of the Subscription Shares have been duly and validly authorized by all necessary corporate actions on its part.</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legal, valid and binding obligation of the Company, enforceable against it in accordance with its terms and subject to its conditions, except as may be limited by applicable bankruptcy, insolvency and similar laws.</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4.2</w:t>
        <w:tab/>
        <w:t>Capitalization.</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As of the Effective Date, the authorized capital of the Company is NT$300,000,000,000, divided into 30,000,000,000 common shares, of which 3,098,627,894 shares are issued and outstanding. All such issued and outstanding shares have been duly authorized and validly issued and are fully paid and non-assessable.</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Valid Issuance.</w:t>
      </w:r>
    </w:p>
    <w:p>
      <w:pPr>
        <w:spacing w:after="0" w:line="121"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Upon issuance in accordance with this Agreement and applicable law, the Subscription Shares will be duly authorized, validly issued, fully paid, and free and clear of any liens or encumbrances, other than transfer restrictions imposed under applicable Taiwan securities laws as relating to privately placed shares.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4.4</w:t>
        <w:tab/>
        <w:t>No Conflict.</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execution and performance of this Agreement by the Company do not (i) violate the Company’s articles of incorporation, its bylaws or any applicable laws or governmental orders; or (ii) conflict with, result in a breach of, constitute a default under (with or without giving notice, lapse of time or both), result in the acceleration of, create in any party the right to accelerate, terminate, suspend, modify, or cancel, or require any notice under, any material contract, deed, instrument or document to which the Company is a party or bound.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Page 5</w:t>
      </w:r>
    </w:p>
    <w:p>
      <w:pPr>
        <w:sectPr>
          <w:pgSz w:w="11900" w:h="16838" w:orient="portrait"/>
          <w:cols w:equalWidth="0" w:num="1">
            <w:col w:w="10984"/>
          </w:cols>
          <w:pgMar w:left="436" w:top="266" w:right="479" w:bottom="1440" w:gutter="0" w:footer="0" w:header="0"/>
        </w:sectPr>
      </w:pPr>
    </w:p>
    <w:bookmarkStart w:id="8" w:name="page9"/>
    <w:bookmarkEnd w:id="8"/>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w:t>
        <w:tab/>
        <w:t>[***]</w:t>
      </w:r>
    </w:p>
    <w:p>
      <w:pPr>
        <w:spacing w:after="0" w:line="13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4.6</w:t>
        <w:tab/>
        <w:t>[***]</w:t>
      </w:r>
    </w:p>
    <w:p>
      <w:pPr>
        <w:spacing w:after="0" w:line="135"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4.7</w:t>
        <w:tab/>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4.8</w:t>
        <w:tab/>
        <w:t>Non-PRC; Non-Sanctioned.</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To the knowledge of the Company, no other subscriber of the Private Placement as approved by the board of directors of the Company on the Effective Date, is (i) a PRC Investor, or (ii) a Sanctioned Person.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5. COVENANTS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5.1</w:t>
        <w:tab/>
        <w:t>Mutual Covenants.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the Effective Date through the Closing Date, each Party covenants and agrees to:</w:t>
      </w:r>
    </w:p>
    <w:p>
      <w:pPr>
        <w:spacing w:after="0" w:line="131" w:lineRule="exact"/>
        <w:rPr>
          <w:sz w:val="20"/>
          <w:szCs w:val="20"/>
          <w:color w:val="auto"/>
        </w:rPr>
      </w:pPr>
    </w:p>
    <w:p>
      <w:pPr>
        <w:ind w:left="424"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other Party in writing upon becoming aware of (i) any breach by such Party of any representation, warranty, or covenant under this Agreement, or (ii) any event or circumstance that would render any of its representations or warranties untrue or incorrect;</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Page 6</w:t>
      </w:r>
    </w:p>
    <w:p>
      <w:pPr>
        <w:sectPr>
          <w:pgSz w:w="11900" w:h="16838" w:orient="portrait"/>
          <w:cols w:equalWidth="0" w:num="1">
            <w:col w:w="10984"/>
          </w:cols>
          <w:pgMar w:left="436" w:top="266" w:right="479" w:bottom="1440" w:gutter="0" w:footer="0" w:header="0"/>
        </w:sectPr>
      </w:pPr>
    </w:p>
    <w:bookmarkStart w:id="9" w:name="page10"/>
    <w:bookmarkEnd w:id="9"/>
    <w:p>
      <w:pPr>
        <w:ind w:left="424" w:right="280"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its commercially reasonable efforts to take, or cause to be taken, all actions and to do, or cause to be done, all things necessary, proper, or advisable to consummate the Private Placement and satisfy the conditions precedent set forth in Article 6 as promptly as practicable, including complying with applicable laws, making required filings with governmental authorities, and cooperating with the other Party to address any requirements or contingencies; and</w:t>
      </w:r>
    </w:p>
    <w:p>
      <w:pPr>
        <w:spacing w:after="0" w:line="85"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taking any action, or omitting to take any action, that could reasonably be expected to prevent the satisfaction of any condition precedent or result in any representation or warranty becoming untrue or incorrect.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5.2</w:t>
        <w:tab/>
        <w:t>Subscriber’s Specific Covenants.</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 xml:space="preserve">The Subscriber acknowledges that, pursuant to Article 43-8 of the SEA, the Subscription Shares constitute privately placed securities and may not be transferable for </w:t>
      </w:r>
      <w:r>
        <w:rPr>
          <w:rFonts w:ascii="Times New Roman" w:cs="Times New Roman" w:eastAsia="Times New Roman" w:hAnsi="Times New Roman"/>
          <w:sz w:val="18"/>
          <w:szCs w:val="18"/>
          <w:b w:val="1"/>
          <w:bCs w:val="1"/>
          <w:color w:val="auto"/>
        </w:rPr>
        <w:t>three (3)</w:t>
      </w:r>
      <w:r>
        <w:rPr>
          <w:rFonts w:ascii="Times New Roman" w:cs="Times New Roman" w:eastAsia="Times New Roman" w:hAnsi="Times New Roman"/>
          <w:sz w:val="18"/>
          <w:szCs w:val="18"/>
          <w:color w:val="auto"/>
        </w:rPr>
        <w:t xml:space="preserve"> full years following the Delivery Date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as permitted by applicable Taiwan laws.</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Company’s Specific Covenants.</w:t>
      </w:r>
    </w:p>
    <w:p>
      <w:pPr>
        <w:spacing w:after="0" w:line="135" w:lineRule="exact"/>
        <w:rPr>
          <w:sz w:val="20"/>
          <w:szCs w:val="20"/>
          <w:color w:val="auto"/>
        </w:rPr>
      </w:pPr>
    </w:p>
    <w:p>
      <w:pPr>
        <w:ind w:left="424" w:hanging="424"/>
        <w:spacing w:after="0" w:line="25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Lock-Up Period, the Company shall, upon the request of the Subscriber, in accordance with applicable Taiwan laws and regulations and using commercially reasonable efforts, facilitate and complete the process for the Subscription Shares to become eligible for retroactive public issuance and listing on the TWSE, including applying with the TWSE for a letter acknowledging that the Subscription Shares meet applicable listing standards and filing the relevant application with the FSC, in each case to the extent required under applicable laws and subject to regulatory review and approval.</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of the Purchase Price by the Subscriber, in the event the Private Placement of the Subscription Shares approved by the board of directors of the Company on the Effective Date fails to close, becomes null and void or is otherwise invalidated for any reason, the Company shall promptly, and in any event no later than [***] calendar days after the occurrence of such event as determined pursuant to applicable laws, return the Purchase Price in full without interest to the Subscriber by wire transfer in immediately available funds.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i w:val="1"/>
          <w:iCs w:val="1"/>
          <w:color w:val="auto"/>
        </w:rPr>
        <w:t>Page 7</w:t>
      </w:r>
    </w:p>
    <w:p>
      <w:pPr>
        <w:sectPr>
          <w:pgSz w:w="11900" w:h="16838" w:orient="portrait"/>
          <w:cols w:equalWidth="0" w:num="1">
            <w:col w:w="10964"/>
          </w:cols>
          <w:pgMar w:left="436" w:top="270" w:right="49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 CONDITIONS PRECEDENT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6.1</w:t>
        <w:tab/>
        <w:t>Conditions to Subscriber’s Obligations.</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obligation of the Subscriber to pay the Purchase Price and consummate the Closing pursuant to Article 2 shall be subject to the satisfaction (or waiver by the Subscriber, to the extent permitted by applicable law) of each of the following conditions on or prior to the Closing Date:</w:t>
      </w:r>
    </w:p>
    <w:p>
      <w:pPr>
        <w:spacing w:after="0" w:line="67" w:lineRule="exact"/>
        <w:rPr>
          <w:sz w:val="20"/>
          <w:szCs w:val="20"/>
          <w:color w:val="auto"/>
        </w:rPr>
      </w:pPr>
    </w:p>
    <w:p>
      <w:pPr>
        <w:ind w:left="424" w:right="52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have duly adopted valid resolutions approving the execution, delivery, and performance of this Agreement and the transactions contemplated hereby, and such resolutions shall remain in full force and effect as of the Closing Date.</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agreements, and obligations required to be performed by it under this Agreement on or prior to the Closing Date.</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this Agreement shall be true and correct in all material respects as of the Effective Date and as of the Closing Date.</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consents, approvals, or authorizations of any governmental authority required to consummate the Closing shall have been obtained and shall be in full force and effect as of the Closing Date.</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through the Closing Date, no event, change, or circumstance shall have occurred that has had, or would reasonably be expected to have, a Material Adverse Effect on the Company and its subsidiaries, taken as a whole; provided, however, that none of the following shall constitute, or be taken into account in determining whether there has occurred, a Material Adverse Effect:</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financial, capital market, or political conditions;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semiconductor or memory industry;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regulations, or accounting standards;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terrorism, natural disasters, pandemics, or other force majeure events;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price or trading volume of the Company’s shares, or failure to meet internal projections;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at the written request or with the prior written consent of the Subscriber.</w:t>
      </w:r>
    </w:p>
    <w:p>
      <w:pPr>
        <w:spacing w:after="0" w:line="113" w:lineRule="exact"/>
        <w:rPr>
          <w:sz w:val="20"/>
          <w:szCs w:val="20"/>
          <w:color w:val="auto"/>
        </w:rPr>
      </w:pPr>
    </w:p>
    <w:p>
      <w:pPr>
        <w:ind w:left="444" w:right="1280"/>
        <w:spacing w:after="0" w:line="286"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change that is durationally significant and disproportionately adverse to the Company.</w:t>
      </w:r>
    </w:p>
    <w:p>
      <w:pPr>
        <w:spacing w:after="0" w:line="60" w:lineRule="exact"/>
        <w:rPr>
          <w:sz w:val="20"/>
          <w:szCs w:val="20"/>
          <w:color w:val="auto"/>
        </w:rPr>
      </w:pPr>
    </w:p>
    <w:p>
      <w:pPr>
        <w:ind w:left="424" w:right="360" w:hanging="424"/>
        <w:spacing w:after="0" w:line="28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been ordered by the TWSE or the Financial Supervisory Commission of Taiwan (the “</w:t>
      </w:r>
      <w:r>
        <w:rPr>
          <w:rFonts w:ascii="Times New Roman" w:cs="Times New Roman" w:eastAsia="Times New Roman" w:hAnsi="Times New Roman"/>
          <w:sz w:val="18"/>
          <w:szCs w:val="18"/>
          <w:b w:val="1"/>
          <w:bCs w:val="1"/>
          <w:color w:val="auto"/>
        </w:rPr>
        <w:t>FSC</w:t>
      </w:r>
      <w:r>
        <w:rPr>
          <w:rFonts w:ascii="Times New Roman" w:cs="Times New Roman" w:eastAsia="Times New Roman" w:hAnsi="Times New Roman"/>
          <w:sz w:val="18"/>
          <w:szCs w:val="18"/>
          <w:color w:val="auto"/>
        </w:rPr>
        <w:t>”) to suspend trading, change its trading method, or delist its shares, nor shall the Company have applied for voluntary delisting.</w:t>
      </w:r>
    </w:p>
    <w:p>
      <w:pPr>
        <w:spacing w:after="0" w:line="64"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judgment, order, injunction, or governmental action shall be in effect that restrains, enjoins, or otherwise prohibits the consummation of the transactions contemplated hereby.</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Page 8</w:t>
      </w:r>
    </w:p>
    <w:p>
      <w:pPr>
        <w:sectPr>
          <w:pgSz w:w="11900" w:h="16838" w:orient="portrait"/>
          <w:cols w:equalWidth="0" w:num="1">
            <w:col w:w="11004"/>
          </w:cols>
          <w:pgMar w:left="436" w:top="266" w:right="459" w:bottom="1440" w:gutter="0" w:footer="0" w:header="0"/>
        </w:sectPr>
      </w:pPr>
    </w:p>
    <w:bookmarkStart w:id="11" w:name="page12"/>
    <w:bookmarkEnd w:id="11"/>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b w:val="1"/>
          <w:bCs w:val="1"/>
          <w:color w:val="auto"/>
        </w:rPr>
        <w:t>Conditions to Company’s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obligation of the Company to issue the Subscription Shares and consummate the Closing shall be subject to the satisfaction (or waiver by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to the extent permitted by applicable law) of the following conditions on or prior to the Closing Date:</w:t>
      </w:r>
    </w:p>
    <w:p>
      <w:pPr>
        <w:spacing w:after="0" w:line="112" w:lineRule="exact"/>
        <w:rPr>
          <w:sz w:val="20"/>
          <w:szCs w:val="20"/>
          <w:color w:val="auto"/>
        </w:rPr>
      </w:pPr>
    </w:p>
    <w:p>
      <w:pPr>
        <w:ind w:left="424" w:right="26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competent authority of the Subscriber shall have duly approved the execution, delivery, and performance of this Agreement and the transactions contemplated hereby, and such resolutions shall remain in full force and effect as of the Closing Date.</w:t>
      </w:r>
    </w:p>
    <w:p>
      <w:pPr>
        <w:spacing w:after="0" w:line="67" w:lineRule="exact"/>
        <w:rPr>
          <w:rFonts w:ascii="Times New Roman" w:cs="Times New Roman" w:eastAsia="Times New Roman" w:hAnsi="Times New Roman"/>
          <w:sz w:val="18"/>
          <w:szCs w:val="18"/>
          <w:color w:val="auto"/>
        </w:rPr>
      </w:pPr>
    </w:p>
    <w:p>
      <w:pPr>
        <w:ind w:left="424" w:right="74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shall have performed and complied in all material respects with its covenants, agreements, and obligations required to be performed by it under this Agreement on or prior to the Closing Date.</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Subscriber under this Agreement shall be true and correct in all material respects as of the Effective Date and as of the Closing Date.</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consents, approvals, or authorizations of any governmental authority required to consummate the Closing shall have been obtained and shall be in full force and effect as of the Closing Date.</w:t>
      </w:r>
    </w:p>
    <w:p>
      <w:pPr>
        <w:spacing w:after="0" w:line="6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governmental, order, injunction, or governmental action shall be in effect that restrains, enjoins, or otherwise prohibit the consummation of the transactions contemplated hereby.</w:t>
      </w:r>
    </w:p>
    <w:p>
      <w:pPr>
        <w:spacing w:after="0" w:line="63" w:lineRule="exact"/>
        <w:rPr>
          <w:rFonts w:ascii="Times New Roman" w:cs="Times New Roman" w:eastAsia="Times New Roman" w:hAnsi="Times New Roman"/>
          <w:sz w:val="18"/>
          <w:szCs w:val="18"/>
          <w:color w:val="auto"/>
        </w:rPr>
      </w:pPr>
    </w:p>
    <w:p>
      <w:pPr>
        <w:ind w:left="424" w:right="20" w:hanging="424"/>
        <w:spacing w:after="0" w:line="259"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NTD Purchase Price paid to the Company shall be no less than </w:t>
      </w:r>
      <w:r>
        <w:rPr>
          <w:rFonts w:ascii="Times New Roman" w:cs="Times New Roman" w:eastAsia="Times New Roman" w:hAnsi="Times New Roman"/>
          <w:sz w:val="18"/>
          <w:szCs w:val="18"/>
          <w:b w:val="1"/>
          <w:bCs w:val="1"/>
          <w:color w:val="auto"/>
        </w:rPr>
        <w:t>NTD 12,420,628,600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Minimum NTD Purchase Price</w:t>
      </w:r>
      <w:r>
        <w:rPr>
          <w:rFonts w:ascii="Times New Roman" w:cs="Times New Roman" w:eastAsia="Times New Roman" w:hAnsi="Times New Roman"/>
          <w:sz w:val="18"/>
          <w:szCs w:val="18"/>
          <w:color w:val="auto"/>
        </w:rPr>
        <w:t>”); provided however, that if the Subscriber has used commercially reasonable efforts to coordinate with the CBC but the actual NTD Purchase Price converted is still less than the Minimum NTD Purchase Price due to (i) CBC not allowing Subscriber sufficient foreign exchange settlement quota per trading day during the period after the Effective Date and before the Closing Date, or (ii) other causes not attributable to the Subscriber, then the Company shall waive this condition, and any shortfall shall instead be paid in United States dollars and form part of the USD Purchase Price.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7. TERMINATION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Termination Events.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Agreement may be terminated at any time prior to the Closing:</w:t>
      </w:r>
    </w:p>
    <w:p>
      <w:pPr>
        <w:spacing w:after="0" w:line="131"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126" w:lineRule="exact"/>
        <w:rPr>
          <w:rFonts w:ascii="Times New Roman" w:cs="Times New Roman" w:eastAsia="Times New Roman" w:hAnsi="Times New Roman"/>
          <w:sz w:val="18"/>
          <w:szCs w:val="18"/>
          <w:color w:val="auto"/>
        </w:rPr>
      </w:pPr>
    </w:p>
    <w:p>
      <w:pPr>
        <w:ind w:left="424" w:right="780" w:hanging="424"/>
        <w:spacing w:after="0" w:line="28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Party in writing, if the Closing has not occurred within </w:t>
      </w:r>
      <w:r>
        <w:rPr>
          <w:rFonts w:ascii="Times New Roman" w:cs="Times New Roman" w:eastAsia="Times New Roman" w:hAnsi="Times New Roman"/>
          <w:sz w:val="18"/>
          <w:szCs w:val="18"/>
          <w:b w:val="1"/>
          <w:bCs w:val="1"/>
          <w:color w:val="auto"/>
        </w:rPr>
        <w:t>fifteen (15)</w:t>
      </w:r>
      <w:r>
        <w:rPr>
          <w:rFonts w:ascii="Times New Roman" w:cs="Times New Roman" w:eastAsia="Times New Roman" w:hAnsi="Times New Roman"/>
          <w:sz w:val="18"/>
          <w:szCs w:val="18"/>
          <w:color w:val="auto"/>
        </w:rPr>
        <w:t xml:space="preserve"> calendars days following the execution and delivery of this Agreement; provided that this right shall not be available to any Party whose breach has caused the failure of the Closing;</w:t>
      </w:r>
    </w:p>
    <w:p>
      <w:pPr>
        <w:spacing w:after="0" w:line="6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in writing, if any governmental authority has issued a final order prohibiting the transaction; or</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non-breaching Party in writing, upon a material breach by the other Party that remains uncured for </w:t>
      </w:r>
      <w:r>
        <w:rPr>
          <w:rFonts w:ascii="Times New Roman" w:cs="Times New Roman" w:eastAsia="Times New Roman" w:hAnsi="Times New Roman"/>
          <w:sz w:val="18"/>
          <w:szCs w:val="18"/>
          <w:b w:val="1"/>
          <w:bCs w:val="1"/>
          <w:color w:val="auto"/>
        </w:rPr>
        <w:t>five (5)</w:t>
      </w:r>
      <w:r>
        <w:rPr>
          <w:rFonts w:ascii="Times New Roman" w:cs="Times New Roman" w:eastAsia="Times New Roman" w:hAnsi="Times New Roman"/>
          <w:sz w:val="18"/>
          <w:szCs w:val="18"/>
          <w:color w:val="auto"/>
        </w:rPr>
        <w:t xml:space="preserve"> calendars days after notice.</w:t>
      </w:r>
    </w:p>
    <w:p>
      <w:pPr>
        <w:spacing w:after="0" w:line="157" w:lineRule="exact"/>
        <w:rPr>
          <w:rFonts w:ascii="Times New Roman" w:cs="Times New Roman" w:eastAsia="Times New Roman" w:hAnsi="Times New Roman"/>
          <w:sz w:val="18"/>
          <w:szCs w:val="18"/>
          <w:color w:val="auto"/>
        </w:rPr>
      </w:pPr>
    </w:p>
    <w:p>
      <w:pPr>
        <w:ind w:left="5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Page 9</w:t>
      </w:r>
    </w:p>
    <w:p>
      <w:pPr>
        <w:sectPr>
          <w:pgSz w:w="11900" w:h="16838" w:orient="portrait"/>
          <w:cols w:equalWidth="0" w:num="1">
            <w:col w:w="11004"/>
          </w:cols>
          <w:pgMar w:left="436" w:top="266" w:right="459" w:bottom="1440" w:gutter="0" w:footer="0" w:header="0"/>
        </w:sectPr>
      </w:pPr>
    </w:p>
    <w:bookmarkStart w:id="12" w:name="page13"/>
    <w:bookmarkEnd w:id="12"/>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7"/>
          <w:szCs w:val="17"/>
          <w:b w:val="1"/>
          <w:bCs w:val="1"/>
          <w:color w:val="auto"/>
        </w:rPr>
        <w:t>Effect of Termination.</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Upon the termination of this Agreement, this Agreement shall cease to have any further effect, except that (a) the provisions of Article 9 and the NDA (as defined below) shall survive the termination of the this Agreement; (b) the Parties’ rights, obligations or liability under or arising out of this Agreement occurring prior to or as at the termination shall not be affected; and (c) clauses under this Agreement which expressly mention that they survive the termination of this Agreement, or which from their nature or context are to survive the termination of this Agreement shall remain in force following termination of this Agreement.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8. INDEMNIFICATION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Indemnification by the Company.</w:t>
      </w:r>
    </w:p>
    <w:p>
      <w:pPr>
        <w:spacing w:after="0" w:line="117"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The Company agrees to indemnify the Subscriber, its officers, directors and employees (collectively, the “</w:t>
      </w:r>
      <w:r>
        <w:rPr>
          <w:rFonts w:ascii="Times New Roman" w:cs="Times New Roman" w:eastAsia="Times New Roman" w:hAnsi="Times New Roman"/>
          <w:sz w:val="18"/>
          <w:szCs w:val="18"/>
          <w:b w:val="1"/>
          <w:bCs w:val="1"/>
          <w:color w:val="auto"/>
        </w:rPr>
        <w:t>Subscriber Indemnified Parties</w:t>
      </w:r>
      <w:r>
        <w:rPr>
          <w:rFonts w:ascii="Times New Roman" w:cs="Times New Roman" w:eastAsia="Times New Roman" w:hAnsi="Times New Roman"/>
          <w:sz w:val="18"/>
          <w:szCs w:val="18"/>
          <w:color w:val="auto"/>
        </w:rPr>
        <w:t>”) for any and all losses, damages, liabilities, costs,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the Subscriber Indemnified Parties arising out of or resulting from any breach of any representation, warranty, or covenant made by the Company in this Agreement.</w:t>
      </w:r>
    </w:p>
    <w:p>
      <w:pPr>
        <w:spacing w:after="0" w:line="31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Indemnification by the Subscriber.</w:t>
      </w:r>
    </w:p>
    <w:p>
      <w:pPr>
        <w:spacing w:after="0" w:line="117"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color w:val="auto"/>
        </w:rPr>
        <w:t>The Subscriber agrees to indemnify the Company, its officers, directors and employees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from and against any and all Losses incurred by the Company Indemnified Parties arising out of or resulting from any breach of any representation, warranty, or covenant made by the Subscriber in this Agreement.</w:t>
      </w:r>
    </w:p>
    <w:p>
      <w:pPr>
        <w:spacing w:after="0" w:line="31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w:t>
      </w:r>
    </w:p>
    <w:p>
      <w:pPr>
        <w:spacing w:after="0" w:line="127" w:lineRule="exact"/>
        <w:rPr>
          <w:sz w:val="20"/>
          <w:szCs w:val="20"/>
          <w:color w:val="auto"/>
        </w:rPr>
      </w:pPr>
    </w:p>
    <w:p>
      <w:pPr>
        <w:ind w:left="424" w:right="880" w:hanging="424"/>
        <w:spacing w:after="0" w:line="28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indemnification liability of the Company arising out of or resulting from this Agreement shall not exceed </w:t>
      </w:r>
      <w:r>
        <w:rPr>
          <w:rFonts w:ascii="Times New Roman" w:cs="Times New Roman" w:eastAsia="Times New Roman" w:hAnsi="Times New Roman"/>
          <w:sz w:val="18"/>
          <w:szCs w:val="18"/>
          <w:b w:val="1"/>
          <w:bCs w:val="1"/>
          <w:color w:val="auto"/>
        </w:rPr>
        <w:t>one hundred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(100) </w:t>
      </w:r>
      <w:r>
        <w:rPr>
          <w:rFonts w:ascii="Times New Roman" w:cs="Times New Roman" w:eastAsia="Times New Roman" w:hAnsi="Times New Roman"/>
          <w:sz w:val="18"/>
          <w:szCs w:val="18"/>
          <w:color w:val="auto"/>
        </w:rPr>
        <w:t>percent of the Purchase Price actually paid by the Subscriber.</w:t>
      </w:r>
    </w:p>
    <w:p>
      <w:pPr>
        <w:spacing w:after="0" w:line="64" w:lineRule="exact"/>
        <w:rPr>
          <w:rFonts w:ascii="Times New Roman" w:cs="Times New Roman" w:eastAsia="Times New Roman" w:hAnsi="Times New Roman"/>
          <w:sz w:val="18"/>
          <w:szCs w:val="18"/>
          <w:color w:val="auto"/>
        </w:rPr>
      </w:pPr>
    </w:p>
    <w:p>
      <w:pPr>
        <w:ind w:left="424" w:right="82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either Party be liable for any special, incidental, indirect, punitive, or consequential damages (including lost profits or opportunity costs), whether based on contract, tort, or otherwise.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9. GENERAL PROVISIONS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Taiwan without regard to any choice or conflict of law provision or rule (whether of Taiwan or any other jurisdiction) that would cause the application of the laws of any jurisdiction other than the law of Taiwan.</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9.2</w:t>
        <w:tab/>
        <w:t>Jurisdiction.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that the Taiwan Taipei District Court shall have exclusive jurisdiction over any dispute arising out of or relating to this Agreement.</w:t>
      </w:r>
    </w:p>
    <w:p>
      <w:pPr>
        <w:spacing w:after="0" w:line="1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Page 10</w:t>
      </w:r>
    </w:p>
    <w:p>
      <w:pPr>
        <w:sectPr>
          <w:pgSz w:w="11900" w:h="16838" w:orient="portrait"/>
          <w:cols w:equalWidth="0" w:num="1">
            <w:col w:w="10964"/>
          </w:cols>
          <w:pgMar w:left="436" w:top="266" w:right="499" w:bottom="1440" w:gutter="0" w:footer="0" w:header="0"/>
        </w:sectPr>
      </w:pPr>
    </w:p>
    <w:bookmarkStart w:id="13" w:name="page14"/>
    <w:bookmarkEnd w:id="13"/>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w:t>
        <w:tab/>
        <w:t>Confidentiality and Publicity.</w:t>
      </w:r>
    </w:p>
    <w:p>
      <w:pPr>
        <w:spacing w:after="0" w:line="135"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424" w:right="20" w:hanging="424"/>
        <w:spacing w:after="0" w:line="26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Announcements. </w:t>
      </w:r>
      <w:r>
        <w:rPr>
          <w:rFonts w:ascii="Times New Roman" w:cs="Times New Roman" w:eastAsia="Times New Roman" w:hAnsi="Times New Roman"/>
          <w:sz w:val="18"/>
          <w:szCs w:val="18"/>
          <w:color w:val="auto"/>
        </w:rPr>
        <w:t>The Parties acknowledge that the Company is a publicly listed company in Taiwan and the Subscriber’s parent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publicly listed company on NASDAQ. Accordingly, either Party shall have the sole right to determine the timing, content, and manner of any public announcement or regulatory filing (including filings with the TWSE or FSC) regarding this Agreement and the Private Placement contemplated hereby, [***], and shall make only such announcement or filing as it is so obligated to disclose.</w:t>
      </w:r>
    </w:p>
    <w:p>
      <w:pPr>
        <w:spacing w:after="0" w:line="32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Expenses and Taxes.</w:t>
      </w:r>
    </w:p>
    <w:p>
      <w:pPr>
        <w:spacing w:after="0" w:line="131" w:lineRule="exact"/>
        <w:rPr>
          <w:sz w:val="20"/>
          <w:szCs w:val="20"/>
          <w:color w:val="auto"/>
        </w:rPr>
      </w:pPr>
    </w:p>
    <w:p>
      <w:pPr>
        <w:ind w:left="424" w:right="40" w:hanging="424"/>
        <w:spacing w:after="0" w:line="26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Except as otherwise expressly provided herein, all costs and expenses (including fees and disbursements of counsel, financial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accountants) incurred in connection with this Agreement and the transactions contemplated hereby shall be paid by the Party incurring such costs and expenses.</w:t>
      </w:r>
    </w:p>
    <w:p>
      <w:pPr>
        <w:spacing w:after="0" w:line="76" w:lineRule="exact"/>
        <w:rPr>
          <w:rFonts w:ascii="Times New Roman" w:cs="Times New Roman" w:eastAsia="Times New Roman" w:hAnsi="Times New Roman"/>
          <w:sz w:val="18"/>
          <w:szCs w:val="18"/>
          <w:color w:val="auto"/>
        </w:rPr>
      </w:pPr>
    </w:p>
    <w:p>
      <w:pPr>
        <w:ind w:left="424" w:right="120" w:hanging="424"/>
        <w:spacing w:after="0" w:line="28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and Fees. </w:t>
      </w:r>
      <w:r>
        <w:rPr>
          <w:rFonts w:ascii="Times New Roman" w:cs="Times New Roman" w:eastAsia="Times New Roman" w:hAnsi="Times New Roman"/>
          <w:sz w:val="18"/>
          <w:szCs w:val="18"/>
          <w:color w:val="auto"/>
        </w:rPr>
        <w:t>The Subscriber shall be responsible for any taxes, or wire transfer fees applicable to its payment of the Purchase Price, ensuring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receives the full amount in immediately available funds free and clear of any deductions.</w:t>
      </w:r>
    </w:p>
    <w:p>
      <w:pPr>
        <w:spacing w:after="0" w:line="30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failure or delay by any Party in exercising any right hereunder shall operate as a waiver thereof.</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any provision of this Agreement is held to be invalid or unenforceable, the remaining provisions shall remain in full force and effect.</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9.7</w:t>
        <w:tab/>
        <w:t>Force Majeure.</w:t>
      </w:r>
    </w:p>
    <w:p>
      <w:pPr>
        <w:spacing w:after="0" w:line="121" w:lineRule="exact"/>
        <w:rPr>
          <w:sz w:val="20"/>
          <w:szCs w:val="20"/>
          <w:color w:val="auto"/>
        </w:rPr>
      </w:pPr>
    </w:p>
    <w:p>
      <w:pPr>
        <w:ind w:left="4" w:right="40"/>
        <w:spacing w:after="0" w:line="276" w:lineRule="auto"/>
        <w:rPr>
          <w:sz w:val="20"/>
          <w:szCs w:val="20"/>
          <w:color w:val="auto"/>
        </w:rPr>
      </w:pPr>
      <w:r>
        <w:rPr>
          <w:rFonts w:ascii="Times New Roman" w:cs="Times New Roman" w:eastAsia="Times New Roman" w:hAnsi="Times New Roman"/>
          <w:sz w:val="17"/>
          <w:szCs w:val="17"/>
          <w:color w:val="auto"/>
        </w:rPr>
        <w:t xml:space="preserve">Neither Party shall be liable for any failure or delay in performing its obligations (specifically excluding the obligation to pay the Purchase Price) due to acts of God, government orders, or other causes beyond its reasonable control; provided, that the affected Party shall notify the other Party within </w:t>
      </w:r>
      <w:r>
        <w:rPr>
          <w:rFonts w:ascii="Times New Roman" w:cs="Times New Roman" w:eastAsia="Times New Roman" w:hAnsi="Times New Roman"/>
          <w:sz w:val="17"/>
          <w:szCs w:val="17"/>
          <w:b w:val="1"/>
          <w:bCs w:val="1"/>
          <w:color w:val="auto"/>
        </w:rPr>
        <w:t>five</w:t>
      </w:r>
    </w:p>
    <w:p>
      <w:pPr>
        <w:spacing w:after="0" w:line="1" w:lineRule="exact"/>
        <w:rPr>
          <w:sz w:val="20"/>
          <w:szCs w:val="20"/>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days of such event.</w:t>
      </w:r>
    </w:p>
    <w:p>
      <w:pPr>
        <w:spacing w:after="0" w:line="35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9.8</w:t>
        <w:tab/>
        <w:t>Assignment.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Neither Party may assign, delegate, or otherwise transfer this Agreement, or any of its rights or obligations hereunder, whether voluntarily, involuntarily, by operation of law, or otherwise, without the prior written consent of the other Party. Any purported assignment or transfer in violation of this Article shall be null and void. Subject to the foregoing, this Agreement shall be binding upon and inure to the benefit of the Parties and their respective permitted successors and assigns.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Page 11</w:t>
      </w:r>
    </w:p>
    <w:p>
      <w:pPr>
        <w:sectPr>
          <w:pgSz w:w="11900" w:h="16838" w:orient="portrait"/>
          <w:cols w:equalWidth="0" w:num="1">
            <w:col w:w="10984"/>
          </w:cols>
          <w:pgMar w:left="436" w:top="266" w:right="479" w:bottom="1440" w:gutter="0" w:footer="0" w:header="0"/>
        </w:sectPr>
      </w:pPr>
    </w:p>
    <w:bookmarkStart w:id="14" w:name="page15"/>
    <w:bookmarkEnd w:id="1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9.9</w:t>
        <w:tab/>
        <w:t>Entire Agreement.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Agreement, together with the NDA, constitutes the entire agreement between the Parties on the subject matter hereof and supersedes all prior agreements.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9.10 Notices.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All notices hereunder shall be in writing and deemed given: (i) upon personal delivery; or (ii) </w:t>
      </w:r>
      <w:r>
        <w:rPr>
          <w:rFonts w:ascii="Times New Roman" w:cs="Times New Roman" w:eastAsia="Times New Roman" w:hAnsi="Times New Roman"/>
          <w:sz w:val="18"/>
          <w:szCs w:val="18"/>
          <w:b w:val="1"/>
          <w:bCs w:val="1"/>
          <w:color w:val="auto"/>
        </w:rPr>
        <w:t>three (3)</w:t>
      </w:r>
      <w:r>
        <w:rPr>
          <w:rFonts w:ascii="Times New Roman" w:cs="Times New Roman" w:eastAsia="Times New Roman" w:hAnsi="Times New Roman"/>
          <w:sz w:val="18"/>
          <w:szCs w:val="18"/>
          <w:color w:val="auto"/>
        </w:rPr>
        <w:t xml:space="preserve"> Business Days after deposit with a recognized courier service. Notices shall be addressed to the Parties at the applicable addresses set forth on the signature page (or, if no address is specified there, an address the delivering Party reasonably believes to be a valid address for the other Party).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9.11  Counterparts.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counterparts and by electronic signatures, each of which shall be deemed an original.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Page 12</w:t>
      </w:r>
    </w:p>
    <w:p>
      <w:pPr>
        <w:sectPr>
          <w:pgSz w:w="11900" w:h="16838" w:orient="portrait"/>
          <w:cols w:equalWidth="0" w:num="1">
            <w:col w:w="11000"/>
          </w:cols>
          <w:pgMar w:left="440" w:top="26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Nanya Technology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Chih-Hsiang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19685</wp:posOffset>
            </wp:positionV>
            <wp:extent cx="2280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Chih-Hsiang Wu</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March 25, 2026</w:t>
      </w:r>
    </w:p>
    <w:p>
      <w:pPr>
        <w:spacing w:after="0" w:line="22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the Private Placement Subscription Agreement]</w:t>
      </w:r>
    </w:p>
    <w:p>
      <w:pPr>
        <w:sectPr>
          <w:pgSz w:w="11900" w:h="16838" w:orient="portrait"/>
          <w:cols w:equalWidth="0" w:num="1">
            <w:col w:w="10019"/>
          </w:cols>
          <w:pgMar w:left="440" w:top="26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Sandisk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Luis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19685</wp:posOffset>
            </wp:positionV>
            <wp:extent cx="2280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Luis Visoso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EVP and CFO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March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951 Sandisk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Milpitas, California 95035</w:t>
      </w:r>
    </w:p>
    <w:p>
      <w:pPr>
        <w:spacing w:after="0" w:line="203"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the Private Placement Subscription Agreement]</w:t>
      </w:r>
    </w:p>
    <w:p>
      <w:pPr>
        <w:sectPr>
          <w:pgSz w:w="11900" w:h="16838" w:orient="portrait"/>
          <w:cols w:equalWidth="0" w:num="1">
            <w:col w:w="10019"/>
          </w:cols>
          <w:pgMar w:left="440" w:top="266"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ACKNOWLEDGE OF PAYMENT AND OWNERSHIP</w:t>
      </w:r>
    </w:p>
    <w:p>
      <w:pPr>
        <w:spacing w:after="0" w:line="2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 2026</w:t>
      </w:r>
    </w:p>
    <w:p>
      <w:pPr>
        <w:spacing w:after="0" w:line="23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Private Placement Subscription Agreement dated [date], 2026 (the “Agreement”) by and between Nanya Technology Corporation (the “Company”) and Sandisk Technologies, Inc. (the “Subscriber”). All capitalized terms used but not defined herein shall have the meanings ascribed thereto in the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acknowledges and confirms receipt from the Subscriber the Purchase Price (being NT$_____________) in full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and confirms the Subscriber’s ownership of the Subscription Shares (being ________________ common shares of the Company).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[affix Company chop]</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Nanya Technology Corporation</w:t>
      </w:r>
    </w:p>
    <w:p>
      <w:pPr>
        <w:spacing w:after="0" w:line="200" w:lineRule="exact"/>
        <w:rPr>
          <w:sz w:val="20"/>
          <w:szCs w:val="20"/>
          <w:color w:val="auto"/>
        </w:rPr>
      </w:pP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[Exhibit A to the Private Placement Subscription Agreement]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lvl w:ilvl="1">
      <w:lvlJc w:val="left"/>
      <w:lvlText w:val="(%2)"/>
      <w:numFmt w:val="lowerRoman"/>
      <w:start w:val="1"/>
    </w:lvl>
  </w:abstractNum>
  <w:abstractNum w:abstractNumId="13">
    <w:nsid w:val="25E45D32"/>
    <w:multiLevelType w:val="hybridMultilevel"/>
    <w:lvl w:ilvl="0">
      <w:lvlJc w:val="left"/>
      <w:lvlText w:val="(%1)"/>
      <w:numFmt w:val="lowerLetter"/>
      <w:start w:val="6"/>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2026-03-25T05:10:06Z</dcterms:created>
  <dcterms:modified xsi:type="dcterms:W3CDTF">2026-03-25T05:10:06Z</dcterms:modified>
</cp:coreProperties>
</file>